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pBdr>
          <w:bottom w:val="dashed" w:color="CCCCCC" w:sz="6" w:space="0"/>
        </w:pBdr>
        <w:shd w:val="clear" w:color="auto" w:fill="FFFFFF"/>
        <w:kinsoku/>
        <w:wordWrap/>
        <w:overflowPunct/>
        <w:topLinePunct w:val="0"/>
        <w:autoSpaceDE/>
        <w:autoSpaceDN/>
        <w:bidi w:val="0"/>
        <w:adjustRightInd/>
        <w:snapToGrid/>
        <w:spacing w:beforeAutospacing="0" w:afterAutospacing="0" w:line="560" w:lineRule="exact"/>
        <w:jc w:val="center"/>
        <w:textAlignment w:val="auto"/>
        <w:rPr>
          <w:rFonts w:hint="eastAsia" w:ascii="方正小标宋简体" w:hAnsi="方正小标宋简体" w:eastAsia="方正小标宋简体" w:cs="方正小标宋简体"/>
          <w:b w:val="0"/>
          <w:bCs/>
          <w:color w:val="000000" w:themeColor="text1"/>
          <w:sz w:val="44"/>
          <w:szCs w:val="44"/>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44"/>
          <w:szCs w:val="44"/>
          <w:shd w:val="clear" w:color="auto" w:fill="FFFFFF"/>
          <w:lang w:val="en-US" w:eastAsia="zh-CN"/>
          <w14:textFill>
            <w14:solidFill>
              <w14:schemeClr w14:val="tx1"/>
            </w14:solidFill>
          </w14:textFill>
        </w:rPr>
        <w:t>中共西安</w:t>
      </w:r>
      <w:r>
        <w:rPr>
          <w:rFonts w:hint="eastAsia" w:ascii="方正小标宋简体" w:hAnsi="方正小标宋简体" w:eastAsia="方正小标宋简体" w:cs="方正小标宋简体"/>
          <w:b w:val="0"/>
          <w:bCs/>
          <w:color w:val="000000" w:themeColor="text1"/>
          <w:sz w:val="44"/>
          <w:szCs w:val="44"/>
          <w:shd w:val="clear" w:color="auto" w:fill="FFFFFF"/>
          <w14:textFill>
            <w14:solidFill>
              <w14:schemeClr w14:val="tx1"/>
            </w14:solidFill>
          </w14:textFill>
        </w:rPr>
        <w:t>市</w:t>
      </w:r>
      <w:r>
        <w:rPr>
          <w:rFonts w:hint="eastAsia" w:ascii="方正小标宋简体" w:hAnsi="方正小标宋简体" w:eastAsia="方正小标宋简体" w:cs="方正小标宋简体"/>
          <w:b w:val="0"/>
          <w:bCs/>
          <w:color w:val="000000" w:themeColor="text1"/>
          <w:sz w:val="44"/>
          <w:szCs w:val="44"/>
          <w:shd w:val="clear" w:color="auto" w:fill="FFFFFF"/>
          <w:lang w:val="en-US" w:eastAsia="zh-CN"/>
          <w14:textFill>
            <w14:solidFill>
              <w14:schemeClr w14:val="tx1"/>
            </w14:solidFill>
          </w14:textFill>
        </w:rPr>
        <w:t>直属机关工作委员会</w:t>
      </w:r>
    </w:p>
    <w:p>
      <w:pPr>
        <w:pStyle w:val="11"/>
        <w:keepNext w:val="0"/>
        <w:keepLines w:val="0"/>
        <w:pageBreakBefore w:val="0"/>
        <w:widowControl/>
        <w:pBdr>
          <w:bottom w:val="dashed" w:color="CCCCCC" w:sz="6" w:space="0"/>
        </w:pBdr>
        <w:shd w:val="clear" w:color="auto" w:fill="FFFFFF"/>
        <w:kinsoku/>
        <w:wordWrap/>
        <w:overflowPunct/>
        <w:topLinePunct w:val="0"/>
        <w:autoSpaceDE/>
        <w:autoSpaceDN/>
        <w:bidi w:val="0"/>
        <w:adjustRightInd/>
        <w:snapToGrid/>
        <w:spacing w:beforeAutospacing="0" w:afterAutospacing="0" w:line="560" w:lineRule="exact"/>
        <w:jc w:val="center"/>
        <w:textAlignment w:val="auto"/>
        <w:rPr>
          <w:rFonts w:hint="eastAsia" w:ascii="方正小标宋简体" w:hAnsi="方正小标宋简体" w:eastAsia="方正小标宋简体" w:cs="方正小标宋简体"/>
          <w:b w:val="0"/>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44"/>
          <w:szCs w:val="44"/>
          <w:shd w:val="clear" w:color="auto" w:fill="FFFFFF"/>
          <w:lang w:eastAsia="zh-CN"/>
          <w14:textFill>
            <w14:solidFill>
              <w14:schemeClr w14:val="tx1"/>
            </w14:solidFill>
          </w14:textFill>
        </w:rPr>
        <w:t>2022</w:t>
      </w:r>
      <w:r>
        <w:rPr>
          <w:rFonts w:hint="eastAsia" w:ascii="方正小标宋简体" w:hAnsi="方正小标宋简体" w:eastAsia="方正小标宋简体" w:cs="方正小标宋简体"/>
          <w:b w:val="0"/>
          <w:bCs/>
          <w:color w:val="000000" w:themeColor="text1"/>
          <w:sz w:val="44"/>
          <w:szCs w:val="44"/>
          <w:shd w:val="clear" w:color="auto" w:fill="FFFFFF"/>
          <w14:textFill>
            <w14:solidFill>
              <w14:schemeClr w14:val="tx1"/>
            </w14:solidFill>
          </w14:textFill>
        </w:rPr>
        <w:t>年部门综合预算</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center"/>
        <w:textAlignment w:val="auto"/>
        <w:rPr>
          <w:rFonts w:hint="eastAsia" w:ascii="黑体" w:hAnsi="黑体" w:eastAsia="黑体" w:cs="黑体"/>
          <w:b w:val="0"/>
          <w:bCs w:val="0"/>
          <w:color w:val="000000" w:themeColor="text1"/>
          <w:sz w:val="36"/>
          <w:szCs w:val="36"/>
          <w:shd w:val="clear" w:color="auto" w:fill="FFFFFF"/>
          <w:lang w:val="en-US" w:eastAsia="zh-CN"/>
          <w14:textFill>
            <w14:solidFill>
              <w14:schemeClr w14:val="tx1"/>
            </w14:solidFill>
          </w14:textFill>
        </w:rPr>
      </w:pPr>
      <w:r>
        <w:rPr>
          <w:rFonts w:hint="eastAsia" w:ascii="黑体" w:hAnsi="黑体" w:eastAsia="黑体" w:cs="黑体"/>
          <w:b w:val="0"/>
          <w:bCs w:val="0"/>
          <w:color w:val="000000" w:themeColor="text1"/>
          <w:sz w:val="36"/>
          <w:szCs w:val="36"/>
          <w:shd w:val="clear" w:color="auto" w:fill="FFFFFF"/>
          <w:lang w:val="en-US" w:eastAsia="zh-CN"/>
          <w14:textFill>
            <w14:solidFill>
              <w14:schemeClr w14:val="tx1"/>
            </w14:solidFill>
          </w14:textFill>
        </w:rPr>
        <w:t>目  录</w:t>
      </w:r>
    </w:p>
    <w:p>
      <w:pPr>
        <w:pStyle w:val="11"/>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b/>
          <w:bCs/>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shd w:val="clear" w:color="auto" w:fill="FFFFFF"/>
          <w:lang w:val="en-US" w:eastAsia="zh-CN"/>
          <w14:textFill>
            <w14:solidFill>
              <w14:schemeClr w14:val="tx1"/>
            </w14:solidFill>
          </w14:textFill>
        </w:rPr>
        <w:t xml:space="preserve"> 部门概况</w:t>
      </w:r>
    </w:p>
    <w:p>
      <w:pPr>
        <w:pStyle w:val="11"/>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部门主要职责及机构设置</w:t>
      </w:r>
    </w:p>
    <w:p>
      <w:pPr>
        <w:pStyle w:val="11"/>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560" w:lineRule="exact"/>
        <w:jc w:val="both"/>
        <w:textAlignment w:val="auto"/>
        <w:rPr>
          <w:rFonts w:hint="default"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2022年部门工作任务</w:t>
      </w:r>
    </w:p>
    <w:p>
      <w:pPr>
        <w:pStyle w:val="11"/>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560" w:lineRule="exact"/>
        <w:jc w:val="both"/>
        <w:textAlignment w:val="auto"/>
        <w:rPr>
          <w:rFonts w:hint="default"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部门预算单位构成</w:t>
      </w:r>
    </w:p>
    <w:p>
      <w:pPr>
        <w:pStyle w:val="11"/>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560" w:lineRule="exact"/>
        <w:jc w:val="both"/>
        <w:textAlignment w:val="auto"/>
        <w:rPr>
          <w:rFonts w:hint="default"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部门人员情况说明</w:t>
      </w:r>
    </w:p>
    <w:p>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b/>
          <w:bCs/>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shd w:val="clear" w:color="auto" w:fill="FFFFFF"/>
          <w:lang w:val="en-US" w:eastAsia="zh-CN"/>
          <w14:textFill>
            <w14:solidFill>
              <w14:schemeClr w14:val="tx1"/>
            </w14:solidFill>
          </w14:textFill>
        </w:rPr>
        <w:t>第二部分  收支情况</w:t>
      </w:r>
    </w:p>
    <w:p>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五、2022年部门预算收支说明</w:t>
      </w:r>
    </w:p>
    <w:p>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b/>
          <w:bCs/>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shd w:val="clear" w:color="auto" w:fill="FFFFFF"/>
          <w:lang w:val="en-US" w:eastAsia="zh-CN"/>
          <w14:textFill>
            <w14:solidFill>
              <w14:schemeClr w14:val="tx1"/>
            </w14:solidFill>
          </w14:textFill>
        </w:rPr>
        <w:t>第三部分 其他说明情况</w:t>
      </w:r>
    </w:p>
    <w:p>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六、部门预算“三公”经费等情况说明</w:t>
      </w:r>
    </w:p>
    <w:p>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七、部门国有资产占有使用及资产购置情况说明</w:t>
      </w:r>
    </w:p>
    <w:p>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八、部门政府采购情况说明</w:t>
      </w:r>
    </w:p>
    <w:p>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九、部门预算绩效目标说明</w:t>
      </w:r>
    </w:p>
    <w:p>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十、机关运行经费安排说明</w:t>
      </w:r>
    </w:p>
    <w:p>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十一、专业名词解释</w:t>
      </w:r>
    </w:p>
    <w:p>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jc w:val="left"/>
        <w:textAlignment w:val="auto"/>
        <w:rPr>
          <w:rFonts w:hint="eastAsia" w:ascii="仿宋_GB2312" w:hAnsi="仿宋_GB2312" w:eastAsia="仿宋_GB2312" w:cs="仿宋_GB2312"/>
          <w:b/>
          <w:bCs/>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shd w:val="clear" w:color="auto" w:fill="FFFFFF"/>
          <w:lang w:val="en-US" w:eastAsia="zh-CN"/>
          <w14:textFill>
            <w14:solidFill>
              <w14:schemeClr w14:val="tx1"/>
            </w14:solidFill>
          </w14:textFill>
        </w:rPr>
        <w:t>第四部分  公开报表</w:t>
      </w:r>
    </w:p>
    <w:p>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jc w:val="left"/>
        <w:textAlignment w:val="auto"/>
        <w:rPr>
          <w:rFonts w:hint="default"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（具体部门预算公开报表）</w:t>
      </w:r>
    </w:p>
    <w:p>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ind w:leftChars="0"/>
        <w:jc w:val="left"/>
        <w:textAlignment w:val="auto"/>
        <w:rPr>
          <w:rFonts w:hint="default"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center"/>
        <w:textAlignment w:val="auto"/>
        <w:rPr>
          <w:rStyle w:val="15"/>
          <w:rFonts w:hint="eastAsia" w:ascii="黑体" w:hAnsi="黑体" w:eastAsia="黑体" w:cs="黑体"/>
          <w:b w:val="0"/>
          <w:bCs w:val="0"/>
          <w:color w:val="000000" w:themeColor="text1"/>
          <w:sz w:val="36"/>
          <w:szCs w:val="36"/>
          <w:shd w:val="clear" w:color="auto" w:fill="FFFFFF"/>
          <w14:textFill>
            <w14:solidFill>
              <w14:schemeClr w14:val="tx1"/>
            </w14:solidFill>
          </w14:textFill>
        </w:rPr>
      </w:pPr>
      <w:r>
        <w:rPr>
          <w:rFonts w:hint="eastAsia" w:ascii="黑体" w:hAnsi="黑体" w:eastAsia="黑体" w:cs="黑体"/>
          <w:b w:val="0"/>
          <w:bCs w:val="0"/>
          <w:color w:val="000000" w:themeColor="text1"/>
          <w:sz w:val="36"/>
          <w:szCs w:val="36"/>
          <w:shd w:val="clear" w:color="auto" w:fill="FFFFFF"/>
          <w:lang w:val="en-US" w:eastAsia="zh-CN"/>
          <w14:textFill>
            <w14:solidFill>
              <w14:schemeClr w14:val="tx1"/>
            </w14:solidFill>
          </w14:textFill>
        </w:rPr>
        <w:t>第一部分  部门概况</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仿宋" w:hAnsi="仿宋" w:eastAsia="仿宋" w:cs="仿宋"/>
          <w:b/>
          <w:bCs w:val="0"/>
          <w:color w:val="000000" w:themeColor="text1"/>
          <w:sz w:val="32"/>
          <w:szCs w:val="32"/>
          <w:lang w:val="en-US" w:eastAsia="zh-CN"/>
          <w14:textFill>
            <w14:solidFill>
              <w14:schemeClr w14:val="tx1"/>
            </w14:solidFill>
          </w14:textFill>
        </w:rPr>
      </w:pPr>
      <w:r>
        <w:rPr>
          <w:rStyle w:val="15"/>
          <w:rFonts w:hint="eastAsia" w:ascii="仿宋" w:hAnsi="仿宋" w:eastAsia="仿宋" w:cs="仿宋"/>
          <w:b/>
          <w:bCs w:val="0"/>
          <w:color w:val="000000" w:themeColor="text1"/>
          <w:sz w:val="32"/>
          <w:szCs w:val="32"/>
          <w:shd w:val="clear" w:color="auto" w:fill="FFFFFF"/>
          <w14:textFill>
            <w14:solidFill>
              <w14:schemeClr w14:val="tx1"/>
            </w14:solidFill>
          </w14:textFill>
        </w:rPr>
        <w:t>一、部门</w:t>
      </w:r>
      <w:r>
        <w:rPr>
          <w:rFonts w:hint="eastAsia" w:ascii="仿宋" w:hAnsi="仿宋" w:eastAsia="仿宋" w:cs="仿宋"/>
          <w:b/>
          <w:bCs w:val="0"/>
          <w:color w:val="000000" w:themeColor="text1"/>
          <w:sz w:val="32"/>
          <w:szCs w:val="32"/>
          <w:shd w:val="clear" w:color="auto" w:fill="FFFFFF"/>
          <w14:textFill>
            <w14:solidFill>
              <w14:schemeClr w14:val="tx1"/>
            </w14:solidFill>
          </w14:textFill>
        </w:rPr>
        <w:t>主要职责</w:t>
      </w:r>
      <w:r>
        <w:rPr>
          <w:rFonts w:hint="eastAsia" w:ascii="仿宋" w:hAnsi="仿宋" w:eastAsia="仿宋" w:cs="仿宋"/>
          <w:b/>
          <w:bCs w:val="0"/>
          <w:color w:val="000000" w:themeColor="text1"/>
          <w:sz w:val="32"/>
          <w:szCs w:val="32"/>
          <w:shd w:val="clear" w:color="auto" w:fill="FFFFFF"/>
          <w:lang w:val="en-US" w:eastAsia="zh-CN"/>
          <w14:textFill>
            <w14:solidFill>
              <w14:schemeClr w14:val="tx1"/>
            </w14:solidFill>
          </w14:textFill>
        </w:rPr>
        <w:t>及机构设置</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根据《中共西安委办公厅关于印发〈中共西安市直属机关工作委员会职能配置内设机构和人员编制规定〉的通知》（市办字〔2019〕112号）</w:t>
      </w:r>
      <w:r>
        <w:rPr>
          <w:rFonts w:hint="eastAsia" w:ascii="仿宋_GB2312" w:eastAsia="仿宋_GB2312" w:cs="Times New Roman"/>
          <w:kern w:val="2"/>
          <w:sz w:val="32"/>
          <w:szCs w:val="32"/>
          <w:lang w:val="en-US" w:eastAsia="zh-CN" w:bidi="ar-SA"/>
        </w:rPr>
        <w:t>、《关于中共西安市直属机关工作委员会所属事业单位机构编制规定的复函》（市编办函</w:t>
      </w:r>
      <w:r>
        <w:rPr>
          <w:rFonts w:hint="eastAsia" w:ascii="仿宋_GB2312" w:hAnsi="Calibri" w:eastAsia="仿宋_GB2312" w:cs="Times New Roman"/>
          <w:kern w:val="2"/>
          <w:sz w:val="32"/>
          <w:szCs w:val="32"/>
          <w:lang w:val="en-US" w:eastAsia="zh-CN" w:bidi="ar-SA"/>
        </w:rPr>
        <w:t>〔2019〕</w:t>
      </w:r>
      <w:r>
        <w:rPr>
          <w:rFonts w:hint="eastAsia" w:ascii="仿宋_GB2312" w:eastAsia="仿宋_GB2312" w:cs="Times New Roman"/>
          <w:kern w:val="2"/>
          <w:sz w:val="32"/>
          <w:szCs w:val="32"/>
          <w:lang w:val="en-US" w:eastAsia="zh-CN" w:bidi="ar-SA"/>
        </w:rPr>
        <w:t>31</w:t>
      </w:r>
      <w:r>
        <w:rPr>
          <w:rFonts w:hint="eastAsia" w:ascii="仿宋_GB2312" w:hAnsi="Calibri" w:eastAsia="仿宋_GB2312" w:cs="Times New Roman"/>
          <w:kern w:val="2"/>
          <w:sz w:val="32"/>
          <w:szCs w:val="32"/>
          <w:lang w:val="en-US" w:eastAsia="zh-CN" w:bidi="ar-SA"/>
        </w:rPr>
        <w:t>号</w:t>
      </w:r>
      <w:r>
        <w:rPr>
          <w:rFonts w:hint="eastAsia" w:ascii="仿宋_GB2312" w:eastAsia="仿宋_GB2312" w:cs="Times New Roman"/>
          <w:kern w:val="2"/>
          <w:sz w:val="32"/>
          <w:szCs w:val="32"/>
          <w:lang w:val="en-US" w:eastAsia="zh-CN" w:bidi="ar-SA"/>
        </w:rPr>
        <w:t>）及《关于市直属机关纪检监察工委机构设置及人员编制的复函》（市编办函</w:t>
      </w:r>
      <w:r>
        <w:rPr>
          <w:rFonts w:hint="eastAsia" w:ascii="仿宋_GB2312" w:hAnsi="Calibri" w:eastAsia="仿宋_GB2312" w:cs="Times New Roman"/>
          <w:kern w:val="2"/>
          <w:sz w:val="32"/>
          <w:szCs w:val="32"/>
          <w:lang w:val="en-US" w:eastAsia="zh-CN" w:bidi="ar-SA"/>
        </w:rPr>
        <w:t>〔20</w:t>
      </w:r>
      <w:r>
        <w:rPr>
          <w:rFonts w:hint="eastAsia" w:ascii="仿宋_GB2312" w:eastAsia="仿宋_GB2312" w:cs="Times New Roman"/>
          <w:kern w:val="2"/>
          <w:sz w:val="32"/>
          <w:szCs w:val="32"/>
          <w:lang w:val="en-US" w:eastAsia="zh-CN" w:bidi="ar-SA"/>
        </w:rPr>
        <w:t>20</w:t>
      </w:r>
      <w:r>
        <w:rPr>
          <w:rFonts w:hint="eastAsia" w:ascii="仿宋_GB2312" w:hAnsi="Calibri" w:eastAsia="仿宋_GB2312" w:cs="Times New Roman"/>
          <w:kern w:val="2"/>
          <w:sz w:val="32"/>
          <w:szCs w:val="32"/>
          <w:lang w:val="en-US" w:eastAsia="zh-CN" w:bidi="ar-SA"/>
        </w:rPr>
        <w:t>〕1</w:t>
      </w:r>
      <w:r>
        <w:rPr>
          <w:rFonts w:hint="eastAsia" w:ascii="仿宋_GB2312" w:eastAsia="仿宋_GB2312" w:cs="Times New Roman"/>
          <w:kern w:val="2"/>
          <w:sz w:val="32"/>
          <w:szCs w:val="32"/>
          <w:lang w:val="en-US" w:eastAsia="zh-CN" w:bidi="ar-SA"/>
        </w:rPr>
        <w:t>46</w:t>
      </w:r>
      <w:r>
        <w:rPr>
          <w:rFonts w:hint="eastAsia" w:ascii="仿宋_GB2312" w:hAnsi="Calibri" w:eastAsia="仿宋_GB2312" w:cs="Times New Roman"/>
          <w:kern w:val="2"/>
          <w:sz w:val="32"/>
          <w:szCs w:val="32"/>
          <w:lang w:val="en-US" w:eastAsia="zh-CN" w:bidi="ar-SA"/>
        </w:rPr>
        <w:t>号</w:t>
      </w:r>
      <w:r>
        <w:rPr>
          <w:rFonts w:hint="eastAsia" w:ascii="仿宋_GB2312" w:eastAsia="仿宋_GB2312" w:cs="Times New Roman"/>
          <w:kern w:val="2"/>
          <w:sz w:val="32"/>
          <w:szCs w:val="32"/>
          <w:lang w:val="en-US" w:eastAsia="zh-CN" w:bidi="ar-SA"/>
        </w:rPr>
        <w:t>),</w:t>
      </w:r>
      <w:r>
        <w:rPr>
          <w:rFonts w:hint="eastAsia" w:ascii="仿宋_GB2312" w:hAnsi="Calibri" w:eastAsia="仿宋_GB2312" w:cs="Times New Roman"/>
          <w:kern w:val="2"/>
          <w:sz w:val="32"/>
          <w:szCs w:val="32"/>
          <w:lang w:val="en-US" w:eastAsia="zh-CN" w:bidi="ar-SA"/>
        </w:rPr>
        <w:t>制定中共西安市直属机关工作委员会</w:t>
      </w:r>
      <w:r>
        <w:rPr>
          <w:rFonts w:hint="eastAsia" w:ascii="仿宋_GB2312" w:eastAsia="仿宋_GB2312" w:cs="Times New Roman"/>
          <w:kern w:val="2"/>
          <w:sz w:val="32"/>
          <w:szCs w:val="32"/>
          <w:lang w:val="en-US" w:eastAsia="zh-CN" w:bidi="ar-SA"/>
        </w:rPr>
        <w:t>各部门各单位</w:t>
      </w:r>
      <w:r>
        <w:rPr>
          <w:rFonts w:hint="eastAsia" w:ascii="仿宋_GB2312" w:hAnsi="Calibri" w:eastAsia="仿宋_GB2312" w:cs="Times New Roman"/>
          <w:kern w:val="2"/>
          <w:sz w:val="32"/>
          <w:szCs w:val="32"/>
          <w:lang w:val="en-US" w:eastAsia="zh-CN" w:bidi="ar-SA"/>
        </w:rPr>
        <w:t>主要职责、内设机构和人员编制规定。</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1.负责制定市直机关党的建设工作规划，领导市直机关党的工作。</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2.领导市直各机关党组织抓好党的政治、思想、组织、作风、纪律、制度建设工作党建工作理论研究、党务干部的培训等工作。</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3、负责市直机关执行政治纪律、工作纪律等情况的日常监督检查工作，抓好市级机关作风建设。落实市委交办的决议、决定和重要工作部署情况的督导检查。</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4.指导市直各机关党组织对党员和党员领导干部的监督，监督检查领导干部双重组织生活制度落实，搞好思想作风建设。</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5.领导市直各机关党组织的纪律检查工作，按照干部管理权限审批上报党员干部违反党纪、党规的处理决定。</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6.指导市直各机关党组织配合行政领导做好思想政治工作和宣传统战工作，指导、协调市直机关的精神文明建设工作。</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7.负责市直机关党建和思想政治工作的调研、指导和宣传报道工作。</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8.指导市直各机关党组织加强党的组织建设；做好对党员发展、教育、管理和党内法规教育工作。</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9.领导市直机关工会工委、团工委、妇工委的工作。</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10.承办市委交办的其他事项。</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 w:hAnsi="楷体" w:eastAsia="楷体" w:cs="楷体"/>
          <w:b/>
          <w:bCs/>
          <w:color w:val="000000"/>
          <w:kern w:val="0"/>
          <w:sz w:val="32"/>
          <w:szCs w:val="32"/>
          <w:lang w:eastAsia="zh-CN" w:bidi="ar"/>
        </w:rPr>
      </w:pPr>
      <w:r>
        <w:rPr>
          <w:rFonts w:hint="eastAsia" w:ascii="楷体" w:hAnsi="楷体" w:eastAsia="楷体" w:cs="楷体"/>
          <w:b/>
          <w:bCs/>
          <w:color w:val="000000"/>
          <w:kern w:val="0"/>
          <w:sz w:val="32"/>
          <w:szCs w:val="32"/>
          <w:lang w:bidi="ar"/>
        </w:rPr>
        <w:t>（二）内设机构</w:t>
      </w:r>
      <w:r>
        <w:rPr>
          <w:rFonts w:hint="eastAsia" w:ascii="楷体" w:hAnsi="楷体" w:eastAsia="楷体" w:cs="楷体"/>
          <w:b/>
          <w:bCs/>
          <w:color w:val="000000"/>
          <w:kern w:val="0"/>
          <w:sz w:val="32"/>
          <w:szCs w:val="32"/>
          <w:lang w:eastAsia="zh-CN" w:bidi="ar"/>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ascii="仿宋_GB2312" w:eastAsia="仿宋_GB2312"/>
          <w:sz w:val="32"/>
          <w:szCs w:val="32"/>
        </w:rPr>
      </w:pPr>
      <w:r>
        <w:rPr>
          <w:rFonts w:hint="eastAsia" w:ascii="楷体" w:hAnsi="楷体" w:eastAsia="楷体" w:cs="楷体"/>
          <w:b/>
          <w:bCs/>
          <w:color w:val="000000"/>
          <w:kern w:val="0"/>
          <w:sz w:val="32"/>
          <w:szCs w:val="32"/>
          <w:lang w:val="en-US" w:eastAsia="zh-CN" w:bidi="ar"/>
        </w:rPr>
        <w:t xml:space="preserve"> </w:t>
      </w:r>
      <w:r>
        <w:rPr>
          <w:rFonts w:hint="eastAsia" w:ascii="仿宋_GB2312" w:eastAsia="仿宋_GB2312"/>
          <w:sz w:val="32"/>
          <w:szCs w:val="32"/>
        </w:rPr>
        <w:t>市直机关工委设</w:t>
      </w:r>
      <w:r>
        <w:rPr>
          <w:rFonts w:hint="eastAsia" w:ascii="仿宋_GB2312" w:eastAsia="仿宋_GB2312"/>
          <w:sz w:val="32"/>
          <w:szCs w:val="32"/>
          <w:lang w:val="en-US" w:eastAsia="zh-CN"/>
        </w:rPr>
        <w:t>6</w:t>
      </w:r>
      <w:r>
        <w:rPr>
          <w:rFonts w:hint="eastAsia" w:ascii="仿宋_GB2312" w:eastAsia="仿宋_GB2312"/>
          <w:sz w:val="32"/>
          <w:szCs w:val="32"/>
        </w:rPr>
        <w:t>个内设机构</w:t>
      </w:r>
      <w:r>
        <w:rPr>
          <w:rFonts w:hint="eastAsia" w:ascii="仿宋_GB2312" w:eastAsia="仿宋_GB2312"/>
          <w:sz w:val="32"/>
          <w:szCs w:val="32"/>
          <w:lang w:eastAsia="zh-CN"/>
        </w:rPr>
        <w:t>，</w:t>
      </w:r>
      <w:r>
        <w:rPr>
          <w:rFonts w:hint="eastAsia" w:ascii="仿宋_GB2312" w:eastAsia="仿宋_GB2312"/>
          <w:sz w:val="32"/>
          <w:szCs w:val="32"/>
          <w:lang w:val="en-US" w:eastAsia="zh-CN"/>
        </w:rPr>
        <w:t>1个下属参照公务员管理事业单位，1个双重管理机构</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内设机构：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w:t>
      </w:r>
      <w:r>
        <w:rPr>
          <w:rFonts w:hint="eastAsia" w:ascii="黑体" w:hAnsi="黑体" w:eastAsia="黑体" w:cs="黑体"/>
          <w:sz w:val="32"/>
          <w:szCs w:val="32"/>
          <w:lang w:val="en-US" w:eastAsia="zh-CN"/>
        </w:rPr>
        <w:t>1</w:t>
      </w:r>
      <w:r>
        <w:rPr>
          <w:rFonts w:hint="eastAsia" w:ascii="黑体" w:hAnsi="黑体" w:eastAsia="黑体" w:cs="黑体"/>
          <w:sz w:val="32"/>
          <w:szCs w:val="32"/>
        </w:rPr>
        <w:t>）办公室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负责综合和反映市直机关党的工作情况，起草工委重要文件和领导讲话；负责承担工委机关政务工作，督促检查工作制度落实；负责会议的组织和会议决定事项的督办；负责文档、机要、信访和接待工作；负责机关财务、资产管理、后勤服务保障和离退休人员服务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w:t>
      </w:r>
      <w:r>
        <w:rPr>
          <w:rFonts w:hint="eastAsia" w:ascii="黑体" w:hAnsi="黑体" w:eastAsia="黑体" w:cs="黑体"/>
          <w:sz w:val="32"/>
          <w:szCs w:val="32"/>
          <w:lang w:val="en-US" w:eastAsia="zh-CN"/>
        </w:rPr>
        <w:t>2</w:t>
      </w:r>
      <w:r>
        <w:rPr>
          <w:rFonts w:hint="eastAsia" w:ascii="黑体" w:hAnsi="黑体" w:eastAsia="黑体" w:cs="黑体"/>
          <w:sz w:val="32"/>
          <w:szCs w:val="32"/>
        </w:rPr>
        <w:t>）调研室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负责拟定市直机关党的建设规划，围绕中心工作</w:t>
      </w:r>
      <w:r>
        <w:rPr>
          <w:rFonts w:hint="eastAsia" w:ascii="仿宋_GB2312" w:eastAsia="仿宋_GB2312"/>
          <w:sz w:val="32"/>
          <w:szCs w:val="32"/>
          <w:lang w:val="en-US" w:eastAsia="zh-CN"/>
        </w:rPr>
        <w:t>和党建规划</w:t>
      </w:r>
      <w:r>
        <w:rPr>
          <w:rFonts w:hint="eastAsia" w:ascii="仿宋_GB2312" w:eastAsia="仿宋_GB2312"/>
          <w:sz w:val="32"/>
          <w:szCs w:val="32"/>
        </w:rPr>
        <w:t>开展调查研究；参与工委重要文件和领导讲话的起草工作；</w:t>
      </w:r>
      <w:r>
        <w:rPr>
          <w:rFonts w:hint="eastAsia" w:ascii="仿宋_GB2312" w:eastAsia="仿宋_GB2312"/>
          <w:sz w:val="32"/>
          <w:szCs w:val="32"/>
          <w:lang w:val="en-US" w:eastAsia="zh-CN"/>
        </w:rPr>
        <w:t>负责</w:t>
      </w:r>
      <w:r>
        <w:rPr>
          <w:rFonts w:hint="eastAsia" w:ascii="仿宋_GB2312" w:eastAsia="仿宋_GB2312"/>
          <w:sz w:val="32"/>
          <w:szCs w:val="32"/>
        </w:rPr>
        <w:t>组织、协调工委各部</w:t>
      </w:r>
      <w:r>
        <w:rPr>
          <w:rFonts w:hint="eastAsia" w:ascii="仿宋_GB2312" w:eastAsia="仿宋_GB2312"/>
          <w:sz w:val="32"/>
          <w:szCs w:val="32"/>
          <w:lang w:val="en-US" w:eastAsia="zh-CN"/>
        </w:rPr>
        <w:t>门</w:t>
      </w:r>
      <w:r>
        <w:rPr>
          <w:rFonts w:hint="eastAsia" w:ascii="仿宋_GB2312" w:eastAsia="仿宋_GB2312"/>
          <w:sz w:val="32"/>
          <w:szCs w:val="32"/>
        </w:rPr>
        <w:t>调研计划的实施</w:t>
      </w:r>
      <w:r>
        <w:rPr>
          <w:rFonts w:hint="eastAsia" w:ascii="仿宋_GB2312" w:eastAsia="仿宋_GB2312"/>
          <w:sz w:val="32"/>
          <w:szCs w:val="32"/>
          <w:lang w:eastAsia="zh-CN"/>
        </w:rPr>
        <w:t>，</w:t>
      </w:r>
      <w:r>
        <w:rPr>
          <w:rFonts w:hint="eastAsia" w:ascii="仿宋_GB2312" w:eastAsia="仿宋_GB2312"/>
          <w:sz w:val="32"/>
          <w:szCs w:val="32"/>
        </w:rPr>
        <w:t>编发《</w:t>
      </w:r>
      <w:r>
        <w:rPr>
          <w:rFonts w:hint="eastAsia" w:ascii="仿宋_GB2312" w:eastAsia="仿宋_GB2312"/>
          <w:sz w:val="32"/>
          <w:szCs w:val="32"/>
          <w:lang w:val="en-US" w:eastAsia="zh-CN"/>
        </w:rPr>
        <w:t>西安机关党建</w:t>
      </w:r>
      <w:r>
        <w:rPr>
          <w:rFonts w:hint="eastAsia" w:ascii="仿宋_GB2312" w:eastAsia="仿宋_GB2312"/>
          <w:sz w:val="32"/>
          <w:szCs w:val="32"/>
        </w:rPr>
        <w:t>》内</w:t>
      </w:r>
      <w:r>
        <w:rPr>
          <w:rFonts w:hint="eastAsia" w:ascii="仿宋_GB2312" w:eastAsia="仿宋_GB2312"/>
          <w:sz w:val="32"/>
          <w:szCs w:val="32"/>
          <w:lang w:val="en-US" w:eastAsia="zh-CN"/>
        </w:rPr>
        <w:t>刊</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w:t>
      </w:r>
      <w:r>
        <w:rPr>
          <w:rFonts w:hint="eastAsia" w:ascii="黑体" w:hAnsi="黑体" w:eastAsia="黑体" w:cs="黑体"/>
          <w:sz w:val="32"/>
          <w:szCs w:val="32"/>
          <w:lang w:val="en-US" w:eastAsia="zh-CN"/>
        </w:rPr>
        <w:t>3</w:t>
      </w:r>
      <w:r>
        <w:rPr>
          <w:rFonts w:hint="eastAsia" w:ascii="黑体" w:hAnsi="黑体" w:eastAsia="黑体" w:cs="黑体"/>
          <w:sz w:val="32"/>
          <w:szCs w:val="32"/>
        </w:rPr>
        <w:t>）组织部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eastAsia="仿宋_GB2312"/>
          <w:sz w:val="32"/>
          <w:szCs w:val="32"/>
        </w:rPr>
      </w:pPr>
      <w:r>
        <w:rPr>
          <w:rFonts w:hint="eastAsia" w:ascii="仿宋_GB2312" w:eastAsia="仿宋_GB2312"/>
          <w:sz w:val="32"/>
          <w:szCs w:val="32"/>
        </w:rPr>
        <w:t>指导市直机关党组织按照《中国共产党党和国家机关基层组织工作条例》加强基层组织建设；负责党员管理教育，做好党员发展和处理不合格党员工作；审批市直各机关党组织和机关纪检组织的建立、换届选举及其班子书记、副书记职务任免；负责实施机关党务干部和党员发展对象的培训；负责市直机关党内年报统计、党费收缴、管理、使用和接转组织关系；负责工委机关的机构编制、干部人事、劳资、目标责任综合考核和离退休干部的管理工作；负责市直机关统战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w:t>
      </w:r>
      <w:r>
        <w:rPr>
          <w:rFonts w:hint="eastAsia" w:ascii="黑体" w:hAnsi="黑体" w:eastAsia="黑体" w:cs="黑体"/>
          <w:sz w:val="32"/>
          <w:szCs w:val="32"/>
          <w:lang w:val="en-US" w:eastAsia="zh-CN"/>
        </w:rPr>
        <w:t>4</w:t>
      </w:r>
      <w:r>
        <w:rPr>
          <w:rFonts w:hint="eastAsia" w:ascii="黑体" w:hAnsi="黑体" w:eastAsia="黑体" w:cs="黑体"/>
          <w:sz w:val="32"/>
          <w:szCs w:val="32"/>
        </w:rPr>
        <w:t>）宣传部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负责抓好市直机关理论武装工作，指导机关党员干部学习中国特色社会主义理论体系，宣传贯彻党的基本路线、方针、政策；</w:t>
      </w:r>
      <w:r>
        <w:rPr>
          <w:rFonts w:hint="eastAsia" w:ascii="仿宋_GB2312" w:eastAsia="仿宋_GB2312"/>
          <w:sz w:val="32"/>
          <w:szCs w:val="32"/>
          <w:lang w:val="en-US" w:eastAsia="zh-CN"/>
        </w:rPr>
        <w:t>负责机关各部门党组（党委）理论学习中心组学习的督促检查和指导：</w:t>
      </w:r>
      <w:r>
        <w:rPr>
          <w:rFonts w:hint="eastAsia" w:ascii="仿宋_GB2312" w:eastAsia="仿宋_GB2312"/>
          <w:sz w:val="32"/>
          <w:szCs w:val="32"/>
        </w:rPr>
        <w:t>进行形势任务教育；指导市直机关党组织做好宣传思想教育工作；了解和反映党员干部思想动态，为领导提供信息和建议；组织开展机关群众性精神文明创建活动，总结、树立和宣传机关先进典型；负责市直机关党建工作的宣传报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w:t>
      </w:r>
      <w:r>
        <w:rPr>
          <w:rFonts w:hint="eastAsia" w:ascii="黑体" w:hAnsi="黑体" w:eastAsia="黑体" w:cs="黑体"/>
          <w:sz w:val="32"/>
          <w:szCs w:val="32"/>
          <w:lang w:val="en-US" w:eastAsia="zh-CN"/>
        </w:rPr>
        <w:t>5</w:t>
      </w:r>
      <w:r>
        <w:rPr>
          <w:rFonts w:hint="eastAsia" w:ascii="黑体" w:hAnsi="黑体" w:eastAsia="黑体" w:cs="黑体"/>
          <w:sz w:val="32"/>
          <w:szCs w:val="32"/>
        </w:rPr>
        <w:t>）群工部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负责指导市直机关</w:t>
      </w:r>
      <w:r>
        <w:rPr>
          <w:rFonts w:hint="eastAsia" w:ascii="仿宋_GB2312" w:eastAsia="仿宋_GB2312"/>
          <w:sz w:val="32"/>
          <w:szCs w:val="32"/>
          <w:lang w:val="en-US" w:eastAsia="zh-CN"/>
        </w:rPr>
        <w:t>各部门的机关</w:t>
      </w:r>
      <w:r>
        <w:rPr>
          <w:rFonts w:hint="eastAsia" w:ascii="仿宋_GB2312" w:eastAsia="仿宋_GB2312"/>
          <w:sz w:val="32"/>
          <w:szCs w:val="32"/>
        </w:rPr>
        <w:t>工会、共青团、妇委会等组织建设工作，提出工、青、妇工作的规划和安排；配合机关党组织围绕机关中心工作开展干部职工、团员青年、妇女的思想政治教育；指导机关工、青、妇组织开展各种文化体育活动，活跃机关文化生活；负责市直机关工会工委、团工委、妇工委的日常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（6）指导督查部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负责市级机关作风建设和工作纪律建设；对市直机关执行政治纪律、工作纪律等情况进行日常监督检查；督促检查市直机关党组织、党员领导干部落实党建责任制和双重组织生活制度情况；落实市委交办的决议、决定和重要工作部署情况的督导检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下属参公事业单位：</w:t>
      </w:r>
    </w:p>
    <w:p>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中共西安市直属机关工作委员会党校</w:t>
      </w:r>
    </w:p>
    <w:p>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eastAsia="仿宋_GB2312" w:cs="黑体"/>
          <w:kern w:val="2"/>
          <w:sz w:val="32"/>
          <w:szCs w:val="32"/>
          <w:lang w:val="en-US" w:eastAsia="zh-CN" w:bidi="ar-SA"/>
        </w:rPr>
      </w:pPr>
      <w:r>
        <w:rPr>
          <w:rFonts w:hint="eastAsia" w:ascii="仿宋_GB2312" w:eastAsia="仿宋_GB2312" w:cs="黑体"/>
          <w:kern w:val="2"/>
          <w:sz w:val="32"/>
          <w:szCs w:val="32"/>
          <w:lang w:val="en-US" w:eastAsia="zh-CN" w:bidi="ar-SA"/>
        </w:rPr>
        <w:t>负责对市级机关党务干部进行党建理论和业务技能培训；负责对市级机关党员进行党的基本知识培训；负责每年对机关入党积极分子进行党的知识培训；承担市委和上级党校安排的其他培训任务。</w:t>
      </w:r>
    </w:p>
    <w:p>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双重管理机构</w:t>
      </w:r>
    </w:p>
    <w:p>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市直属机关纪检监察工委</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履行《西安市纪委监委派驻机构改革方案》对派驻纪检监察组规定的职能职责；领导市级党和国家机关各部门机关纪律检查工作，推动各部门加强机关纪检机构建设，开展党风廉政建设和反腐败日常工作；对市纪委监委派驻纪检监察组移送审理的驻在部门党组（党委）管理的处级党员干部违纪违法案件进行审理，形成审理报告并反馈移送案件的派驻纪检监察组；对市级党和国家机关各部门机关纪检机构报送的驻在部门党组（党委）管理的处级党员干部党纪处分、科级党员干部摊销党内职务及以上党纪处分的党纪处分决定和相关材料予以备案并进行审核，对发现的问题及时反馈并督促解决；在市纪委监委领导下，建立健全市直机关审查处理违纪案件质量评查机制，对党组（党委）讨论决定、派驻机构审查处理的案件事实证据、性质认定、处分档次、程序手续等进行监督检查，采取通报、约谈等方式反馈评查结果；承担市纪委监委和市直属机关工委交办的其他工作任务。</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仿宋" w:hAnsi="仿宋" w:eastAsia="仿宋" w:cs="仿宋"/>
          <w:b/>
          <w:bCs/>
          <w:color w:val="000000" w:themeColor="text1"/>
          <w:sz w:val="32"/>
          <w:szCs w:val="32"/>
          <w:shd w:val="clear" w:color="auto" w:fill="FFFFFF"/>
          <w14:textFill>
            <w14:solidFill>
              <w14:schemeClr w14:val="tx1"/>
            </w14:solidFill>
          </w14:textFill>
        </w:rPr>
      </w:pPr>
      <w:r>
        <w:rPr>
          <w:rFonts w:hint="eastAsia" w:ascii="仿宋" w:hAnsi="仿宋" w:eastAsia="仿宋" w:cs="仿宋"/>
          <w:b/>
          <w:bCs/>
          <w:color w:val="000000" w:themeColor="text1"/>
          <w:sz w:val="32"/>
          <w:szCs w:val="32"/>
          <w:shd w:val="clear" w:color="auto" w:fill="FFFFFF"/>
          <w14:textFill>
            <w14:solidFill>
              <w14:schemeClr w14:val="tx1"/>
            </w14:solidFill>
          </w14:textFill>
        </w:rPr>
        <w:t>二、</w:t>
      </w:r>
      <w:r>
        <w:rPr>
          <w:rFonts w:hint="eastAsia" w:ascii="仿宋" w:hAnsi="仿宋" w:eastAsia="仿宋" w:cs="仿宋"/>
          <w:b/>
          <w:bCs/>
          <w:color w:val="000000" w:themeColor="text1"/>
          <w:sz w:val="32"/>
          <w:szCs w:val="32"/>
          <w:shd w:val="clear" w:color="auto" w:fill="FFFFFF"/>
          <w:lang w:eastAsia="zh-CN"/>
          <w14:textFill>
            <w14:solidFill>
              <w14:schemeClr w14:val="tx1"/>
            </w14:solidFill>
          </w14:textFill>
        </w:rPr>
        <w:t>2022</w:t>
      </w:r>
      <w:r>
        <w:rPr>
          <w:rFonts w:hint="eastAsia" w:ascii="仿宋" w:hAnsi="仿宋" w:eastAsia="仿宋" w:cs="仿宋"/>
          <w:b/>
          <w:bCs/>
          <w:color w:val="000000" w:themeColor="text1"/>
          <w:sz w:val="32"/>
          <w:szCs w:val="32"/>
          <w:shd w:val="clear" w:color="auto" w:fill="FFFFFF"/>
          <w14:textFill>
            <w14:solidFill>
              <w14:schemeClr w14:val="tx1"/>
            </w14:solidFill>
          </w14:textFill>
        </w:rPr>
        <w:t>年部门工作任务</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bCs/>
          <w:color w:val="000000" w:themeColor="text1"/>
          <w:sz w:val="32"/>
          <w:szCs w:val="32"/>
          <w:lang w:val="en-US" w:eastAsia="zh-CN"/>
          <w14:textFill>
            <w14:solidFill>
              <w14:schemeClr w14:val="tx1"/>
            </w14:solidFill>
          </w14:textFill>
        </w:rPr>
      </w:pPr>
      <w:r>
        <w:rPr>
          <w:rFonts w:hint="eastAsia" w:ascii="仿宋_GB2312" w:eastAsia="仿宋_GB2312"/>
          <w:b/>
          <w:bCs/>
          <w:color w:val="000000" w:themeColor="text1"/>
          <w:sz w:val="32"/>
          <w:szCs w:val="32"/>
          <w:lang w:val="en-US" w:eastAsia="zh-CN"/>
          <w14:textFill>
            <w14:solidFill>
              <w14:schemeClr w14:val="tx1"/>
            </w14:solidFill>
          </w14:textFill>
        </w:rPr>
        <w:t>2022年市直机关党的建设重点抓好6方面22项工作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color w:val="auto"/>
          <w:sz w:val="32"/>
          <w:szCs w:val="32"/>
          <w:shd w:val="clear" w:color="auto" w:fill="FFFFFF"/>
          <w:lang w:val="en-US" w:eastAsia="zh-CN"/>
        </w:rPr>
      </w:pPr>
      <w:r>
        <w:rPr>
          <w:rFonts w:hint="eastAsia" w:ascii="黑体" w:hAnsi="黑体" w:eastAsia="黑体" w:cs="黑体"/>
          <w:color w:val="auto"/>
          <w:sz w:val="32"/>
          <w:szCs w:val="32"/>
          <w:shd w:val="clear" w:color="auto" w:fill="FFFFFF"/>
          <w:lang w:val="en-US" w:eastAsia="zh-CN"/>
        </w:rPr>
        <w:t>一、聚焦“两个确立”，大力加强机关党的政治建设</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color w:val="auto"/>
          <w:sz w:val="32"/>
          <w:szCs w:val="32"/>
          <w:shd w:val="clear" w:color="auto" w:fill="FFFFFF"/>
          <w:lang w:val="en-US" w:eastAsia="zh-CN"/>
        </w:rPr>
      </w:pPr>
      <w:r>
        <w:rPr>
          <w:rFonts w:hint="eastAsia" w:ascii="楷体_GB2312" w:hAnsi="楷体_GB2312" w:eastAsia="楷体_GB2312" w:cs="楷体_GB2312"/>
          <w:b/>
          <w:bCs/>
          <w:color w:val="auto"/>
          <w:sz w:val="32"/>
          <w:szCs w:val="32"/>
          <w:shd w:val="clear" w:color="auto" w:fill="FFFFFF"/>
          <w:lang w:val="en-US" w:eastAsia="zh-CN"/>
        </w:rPr>
        <w:t>1.旗帜鲜明讲政治。</w:t>
      </w:r>
      <w:r>
        <w:rPr>
          <w:rFonts w:hint="eastAsia" w:ascii="仿宋_GB2312" w:hAnsi="仿宋_GB2312" w:eastAsia="仿宋_GB2312" w:cs="仿宋_GB2312"/>
          <w:color w:val="auto"/>
          <w:sz w:val="32"/>
          <w:szCs w:val="32"/>
          <w:shd w:val="clear" w:color="auto" w:fill="FFFFFF"/>
          <w:lang w:val="en-US" w:eastAsia="zh-CN"/>
        </w:rPr>
        <w:t>贯彻落实《中共中央关于加强党的政治建设的意见》，把党的政治建设摆在首位。深刻领会“两个确立”的决定性意义，坚决落实习近平总书记重要讲话特别是三次来陕考察重要讲话重要指示精神，深入贯彻中央决策部署和省委、市委工作要求。严明党的政治纪律和政治规矩，坚持党的政治领导，夯实政治根基，涵养政治生态，防范政治风险，永葆政治本色，提高政治能力，不断增强“四个意识”，坚定“四个自信”，做到“两个维护”，始终在思想上政治上行动上同党中央保持高度一致。</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color w:val="auto"/>
          <w:sz w:val="32"/>
          <w:szCs w:val="32"/>
          <w:shd w:val="clear" w:color="auto" w:fill="FFFFFF"/>
          <w:lang w:val="en-US" w:eastAsia="zh-CN"/>
        </w:rPr>
      </w:pPr>
      <w:r>
        <w:rPr>
          <w:rFonts w:hint="eastAsia" w:ascii="楷体_GB2312" w:hAnsi="楷体_GB2312" w:eastAsia="楷体_GB2312" w:cs="楷体_GB2312"/>
          <w:b/>
          <w:bCs/>
          <w:color w:val="auto"/>
          <w:sz w:val="32"/>
          <w:szCs w:val="32"/>
          <w:shd w:val="clear" w:color="auto" w:fill="FFFFFF"/>
          <w:lang w:val="en-US" w:eastAsia="zh-CN"/>
        </w:rPr>
        <w:t>2.严肃党内政治生活。</w:t>
      </w:r>
      <w:r>
        <w:rPr>
          <w:rFonts w:hint="eastAsia" w:ascii="仿宋_GB2312" w:hAnsi="仿宋_GB2312" w:eastAsia="仿宋_GB2312" w:cs="仿宋_GB2312"/>
          <w:color w:val="auto"/>
          <w:sz w:val="32"/>
          <w:szCs w:val="32"/>
          <w:shd w:val="clear" w:color="auto" w:fill="FFFFFF"/>
          <w:lang w:val="en-US" w:eastAsia="zh-CN"/>
        </w:rPr>
        <w:t>贯彻执行《关于新形势下党内政治生活的若干准则》，制定出台市直机关党组织严格党的组织生活制度的实施意见，指导市直机关党组织和党员干部严格“三会一课”，严格双重组织生活，严格民主生活会和组织生活会，严格谈心谈话，严格民主评议党员，严格请示报告，严格主题党日，严格党员宣誓，进一步加强和规范机关党组织政治生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color w:val="auto"/>
          <w:sz w:val="32"/>
          <w:szCs w:val="32"/>
          <w:shd w:val="clear" w:color="auto" w:fill="FFFFFF"/>
          <w:lang w:eastAsia="zh-CN"/>
        </w:rPr>
      </w:pPr>
      <w:r>
        <w:rPr>
          <w:rFonts w:hint="eastAsia" w:ascii="楷体_GB2312" w:hAnsi="楷体_GB2312" w:eastAsia="楷体_GB2312" w:cs="楷体_GB2312"/>
          <w:b/>
          <w:bCs/>
          <w:color w:val="auto"/>
          <w:sz w:val="32"/>
          <w:szCs w:val="32"/>
          <w:shd w:val="clear" w:color="auto" w:fill="FFFFFF"/>
          <w:lang w:val="en-US" w:eastAsia="zh-CN"/>
        </w:rPr>
        <w:t>3.坚决做到“两个维护”。</w:t>
      </w:r>
      <w:r>
        <w:rPr>
          <w:rFonts w:hint="eastAsia" w:ascii="仿宋_GB2312" w:hAnsi="仿宋_GB2312" w:eastAsia="仿宋_GB2312" w:cs="仿宋_GB2312"/>
          <w:color w:val="auto"/>
          <w:sz w:val="32"/>
          <w:szCs w:val="32"/>
          <w:shd w:val="clear" w:color="auto" w:fill="FFFFFF"/>
          <w:lang w:val="en-US" w:eastAsia="zh-CN"/>
        </w:rPr>
        <w:t>认真贯彻中央和省委市委严明党的政治纪律和政治规矩坚决做到“两个维护”的规定，在工作大局中谋划推进机关党建工作，抓好市直机关党组织贯彻落实习近平总书记来陕考察重要讲话重要指示精神及在中央和国家机关党的建设工作会议上的讲话精神任务分解落实，把坚决做到“两个维护”贯彻落实到机关党建工作全过程各方面，推动习近平总书记重要讲话重要指示精神和中央重大决策部署在市直机关落地生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黑体" w:hAnsi="黑体" w:eastAsia="黑体" w:cs="黑体"/>
          <w:color w:val="auto"/>
          <w:sz w:val="32"/>
          <w:szCs w:val="32"/>
          <w:shd w:val="clear" w:color="auto" w:fill="FFFFFF"/>
          <w:lang w:val="en-US" w:eastAsia="zh-CN"/>
        </w:rPr>
      </w:pPr>
      <w:r>
        <w:rPr>
          <w:rFonts w:hint="eastAsia" w:ascii="黑体" w:hAnsi="黑体" w:eastAsia="黑体" w:cs="黑体"/>
          <w:color w:val="auto"/>
          <w:sz w:val="32"/>
          <w:szCs w:val="32"/>
          <w:shd w:val="clear" w:color="auto" w:fill="FFFFFF"/>
          <w:lang w:val="en-US" w:eastAsia="zh-CN"/>
        </w:rPr>
        <w:t>二、聚焦“国之大者”，大力加强机关党的思想建设</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color w:val="auto"/>
          <w:sz w:val="32"/>
          <w:szCs w:val="32"/>
          <w:shd w:val="clear" w:color="auto" w:fill="FFFFFF"/>
          <w:lang w:val="en-US" w:eastAsia="zh-CN"/>
        </w:rPr>
      </w:pPr>
      <w:r>
        <w:rPr>
          <w:rFonts w:hint="eastAsia" w:ascii="楷体_GB2312" w:hAnsi="楷体_GB2312" w:eastAsia="楷体_GB2312" w:cs="楷体_GB2312"/>
          <w:b/>
          <w:bCs/>
          <w:color w:val="auto"/>
          <w:sz w:val="32"/>
          <w:szCs w:val="32"/>
          <w:shd w:val="clear" w:color="auto" w:fill="FFFFFF"/>
          <w:lang w:val="en-US" w:eastAsia="zh-CN"/>
        </w:rPr>
        <w:t>4.持续强化理论武装。</w:t>
      </w:r>
      <w:r>
        <w:rPr>
          <w:rFonts w:hint="eastAsia" w:ascii="仿宋_GB2312" w:hAnsi="仿宋_GB2312" w:eastAsia="仿宋_GB2312" w:cs="仿宋_GB2312"/>
          <w:color w:val="auto"/>
          <w:sz w:val="32"/>
          <w:szCs w:val="32"/>
          <w:shd w:val="clear" w:color="auto" w:fill="FFFFFF"/>
          <w:lang w:val="en-US" w:eastAsia="zh-CN"/>
        </w:rPr>
        <w:t>把学习贯彻习近平新时代中国特色社会主义思想作为市直部门党组（党委）理论学习中心组学习和机关党员干部理论学习的重点内容，认真抓好学习贯彻党的十九届六中全会精神专题培训班和专题学习班。坚持“第一议题”制度，及时跟进学习习近平总书记重要讲话重要指示和中央重大决策部署，坚持用习近平新时代中国特色社会主义思想武装头脑、指导实践、推动工作。把党史总结、宣传、教育引向深入，推进党史学习教育常态化长效化。严格落实市直部门党组（党委）理论学习中心组学习“一学一报”制度和巡听旁听制度。抓好青年理论学习提升工程，“七一”前夕召开市直机关青年理论学习成果经验交流会。举办市直机关大讲堂系列讲座，用好“学习强国”学习平台。</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color w:val="auto"/>
          <w:sz w:val="32"/>
          <w:szCs w:val="40"/>
          <w:lang w:val="en-US" w:eastAsia="zh-CN"/>
        </w:rPr>
      </w:pPr>
      <w:r>
        <w:rPr>
          <w:rFonts w:hint="eastAsia" w:ascii="楷体_GB2312" w:hAnsi="楷体_GB2312" w:eastAsia="楷体_GB2312" w:cs="楷体_GB2312"/>
          <w:b/>
          <w:bCs/>
          <w:color w:val="auto"/>
          <w:sz w:val="32"/>
          <w:szCs w:val="32"/>
          <w:shd w:val="clear" w:color="auto" w:fill="FFFFFF"/>
          <w:lang w:val="en-US" w:eastAsia="zh-CN"/>
        </w:rPr>
        <w:t>5.落实意识形态责任制。</w:t>
      </w:r>
      <w:r>
        <w:rPr>
          <w:rFonts w:hint="eastAsia" w:ascii="仿宋_GB2312" w:hAnsi="仿宋_GB2312" w:eastAsia="仿宋_GB2312" w:cs="仿宋_GB2312"/>
          <w:color w:val="auto"/>
          <w:sz w:val="32"/>
          <w:szCs w:val="40"/>
          <w:lang w:val="en-US" w:eastAsia="zh-CN"/>
        </w:rPr>
        <w:t>认真贯彻《党委（党组）意识形态工作责任制实施办法》和省委《实施细则》、市委《实施方案》，全面落实意识形态工作责任制。指导督促市直部门党组（党委）每年至少</w:t>
      </w:r>
      <w:r>
        <w:rPr>
          <w:rFonts w:hint="default" w:ascii="Times New Roman" w:hAnsi="Times New Roman" w:eastAsia="仿宋_GB2312" w:cs="Times New Roman"/>
          <w:color w:val="auto"/>
          <w:sz w:val="32"/>
          <w:szCs w:val="40"/>
          <w:lang w:val="en-US" w:eastAsia="zh-CN"/>
        </w:rPr>
        <w:t>2次专题研究意识形态工作，每半年向上级党委报告1</w:t>
      </w:r>
      <w:r>
        <w:rPr>
          <w:rFonts w:hint="eastAsia" w:ascii="仿宋_GB2312" w:hAnsi="仿宋_GB2312" w:eastAsia="仿宋_GB2312" w:cs="仿宋_GB2312"/>
          <w:color w:val="auto"/>
          <w:sz w:val="32"/>
          <w:szCs w:val="40"/>
          <w:lang w:val="en-US" w:eastAsia="zh-CN"/>
        </w:rPr>
        <w:t>次意识形态工作责任制落实情况。按照主管主办原则，加强对所属网站、微信公众号、刊物和承办报告会、培训班等意识形态阵地管理，充分发挥其宣传交流平台作用。做好中央和省委巡视意识形态专项检查反馈意见整改工作，制定出台工委领导干部走好网上群众路线的工作措施，加强“网军”队伍建设，确保市直机关意识形态工作正确政治方向。</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color w:val="auto"/>
          <w:sz w:val="32"/>
          <w:szCs w:val="32"/>
          <w:lang w:eastAsia="zh-CN"/>
        </w:rPr>
      </w:pPr>
      <w:r>
        <w:rPr>
          <w:rFonts w:hint="eastAsia" w:ascii="楷体_GB2312" w:hAnsi="楷体_GB2312" w:eastAsia="楷体_GB2312" w:cs="楷体_GB2312"/>
          <w:b/>
          <w:bCs/>
          <w:color w:val="auto"/>
          <w:sz w:val="32"/>
          <w:szCs w:val="32"/>
          <w:shd w:val="clear" w:color="auto" w:fill="FFFFFF"/>
          <w:lang w:val="en-US" w:eastAsia="zh-CN"/>
        </w:rPr>
        <w:t>6.抓好宣传思想工作。</w:t>
      </w:r>
      <w:r>
        <w:rPr>
          <w:rFonts w:hint="eastAsia" w:ascii="仿宋_GB2312" w:hAnsi="仿宋_GB2312" w:eastAsia="仿宋_GB2312" w:cs="仿宋_GB2312"/>
          <w:color w:val="auto"/>
          <w:sz w:val="32"/>
          <w:szCs w:val="40"/>
          <w:lang w:val="en-US" w:eastAsia="zh-CN"/>
        </w:rPr>
        <w:t>按照举旗帜、聚民心、育新人、兴文化、展形象的要求，制定出台市直机关新时代加强和改进思想政治工作的实施意见。深化政治机关意识教育，开展对党忠诚教育、重温入党誓词、入党志愿书和政治生日等活动，打造“三表率一模范”政治机关。制定出台市直机关党员干部思想动态分析报告办法，深入开展机关党员干部思想状态调查。紧紧围绕迎接、宣传、贯彻党的二十大精神和省市十四次党代会精神，举办市直机关“喜迎二十大 奋进谱新篇”交流座谈会，着力推进市直机关宣传思想工作。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color w:val="auto"/>
          <w:sz w:val="32"/>
          <w:szCs w:val="32"/>
          <w:lang w:eastAsia="zh-CN"/>
        </w:rPr>
      </w:pPr>
      <w:r>
        <w:rPr>
          <w:rFonts w:hint="eastAsia" w:ascii="楷体_GB2312" w:hAnsi="楷体_GB2312" w:eastAsia="楷体_GB2312" w:cs="楷体_GB2312"/>
          <w:b/>
          <w:bCs/>
          <w:color w:val="auto"/>
          <w:sz w:val="32"/>
          <w:szCs w:val="32"/>
          <w:shd w:val="clear" w:color="auto" w:fill="FFFFFF"/>
          <w:lang w:val="en-US" w:eastAsia="zh-CN"/>
        </w:rPr>
        <w:t>7.深化机关精神文明建设。</w:t>
      </w:r>
      <w:r>
        <w:rPr>
          <w:rFonts w:hint="eastAsia" w:ascii="仿宋_GB2312" w:hAnsi="仿宋_GB2312" w:eastAsia="仿宋_GB2312" w:cs="仿宋_GB2312"/>
          <w:color w:val="auto"/>
          <w:sz w:val="32"/>
          <w:szCs w:val="32"/>
        </w:rPr>
        <w:t>积极培育践行社会主义核心价值观，深入开展理想信念和爱国主义教育。研究制定市直机关党员志愿服务发展规划，持续开展岗位学雷锋活动和“周末哪里去·一起做公益”等志愿服务活动。常态化开展“我们的节日”主题实践活动，弘扬中华民族优秀传统文化。加强节约型机关建设，深化文明餐桌行动。持续开展文明机关、文明家庭等创建活动，推动新时代机关精神文明建设高质量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color w:val="auto"/>
          <w:sz w:val="32"/>
          <w:szCs w:val="32"/>
          <w:shd w:val="clear" w:color="auto" w:fill="FFFFFF"/>
          <w:lang w:val="en-US" w:eastAsia="zh-CN"/>
        </w:rPr>
      </w:pPr>
      <w:r>
        <w:rPr>
          <w:rFonts w:hint="eastAsia" w:ascii="黑体" w:hAnsi="黑体" w:eastAsia="黑体" w:cs="黑体"/>
          <w:color w:val="auto"/>
          <w:sz w:val="32"/>
          <w:szCs w:val="32"/>
          <w:shd w:val="clear" w:color="auto" w:fill="FFFFFF"/>
          <w:lang w:val="en-US" w:eastAsia="zh-CN"/>
        </w:rPr>
        <w:t>三、聚焦基层基础，大力加强机关党的组织建设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color w:val="auto"/>
          <w:sz w:val="32"/>
          <w:szCs w:val="32"/>
          <w:shd w:val="clear" w:color="auto" w:fill="FFFFFF"/>
          <w:lang w:val="en-US" w:eastAsia="zh-CN"/>
        </w:rPr>
      </w:pPr>
      <w:r>
        <w:rPr>
          <w:rFonts w:hint="eastAsia" w:ascii="楷体_GB2312" w:hAnsi="楷体_GB2312" w:eastAsia="楷体_GB2312" w:cs="楷体_GB2312"/>
          <w:b/>
          <w:bCs/>
          <w:color w:val="auto"/>
          <w:sz w:val="32"/>
          <w:szCs w:val="32"/>
          <w:shd w:val="clear" w:color="auto" w:fill="FFFFFF"/>
          <w:lang w:val="en-US" w:eastAsia="zh-CN"/>
        </w:rPr>
        <w:t>8.强化基层党组织功能。</w:t>
      </w:r>
      <w:r>
        <w:rPr>
          <w:rFonts w:hint="eastAsia" w:ascii="仿宋_GB2312" w:hAnsi="仿宋_GB2312" w:eastAsia="仿宋_GB2312" w:cs="仿宋_GB2312"/>
          <w:color w:val="auto"/>
          <w:sz w:val="32"/>
          <w:szCs w:val="32"/>
          <w:shd w:val="clear" w:color="auto" w:fill="FFFFFF"/>
          <w:lang w:val="en-US" w:eastAsia="zh-CN"/>
        </w:rPr>
        <w:t>认真贯彻《中国共产党党和国家机关基层组织工作条例》，严格落实市直机关党组织换届工作流程，及时做好各级党组织按期换届和届中调整工作，落实新任机关党委书记、副书记和机关纪委书记集体谈话制度。强化机关党建平时考核、专项考核和年度考核，分级抓好市直机关各级党组织书记抓基层党建述职评议考核工作。强化各级基层党建项目化管理，推动基层党组织全面提升、全面过硬。“七一”前夕召开市直机关学习贯彻习近平总书记“</w:t>
      </w:r>
      <w:r>
        <w:rPr>
          <w:rFonts w:hint="default" w:ascii="Times New Roman" w:hAnsi="Times New Roman" w:eastAsia="仿宋_GB2312" w:cs="Times New Roman"/>
          <w:color w:val="auto"/>
          <w:sz w:val="32"/>
          <w:szCs w:val="32"/>
          <w:shd w:val="clear" w:color="auto" w:fill="FFFFFF"/>
          <w:lang w:val="en-US" w:eastAsia="zh-CN"/>
        </w:rPr>
        <w:t>7.9</w:t>
      </w:r>
      <w:r>
        <w:rPr>
          <w:rFonts w:hint="eastAsia" w:ascii="仿宋_GB2312" w:hAnsi="仿宋_GB2312" w:eastAsia="仿宋_GB2312" w:cs="仿宋_GB2312"/>
          <w:color w:val="auto"/>
          <w:sz w:val="32"/>
          <w:szCs w:val="32"/>
          <w:shd w:val="clear" w:color="auto" w:fill="FFFFFF"/>
          <w:lang w:val="en-US" w:eastAsia="zh-CN"/>
        </w:rPr>
        <w:t>”重要讲话发表三周年交流座谈会，推动机关党建工作高质量发展。按照统一部署，做好市直机关出席党的二十大和省市党代会党代表的推选和联络工作。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9"/>
        <w:rPr>
          <w:rFonts w:hint="default" w:ascii="仿宋_GB2312" w:hAnsi="仿宋_GB2312" w:eastAsia="仿宋_GB2312" w:cs="仿宋_GB2312"/>
          <w:color w:val="auto"/>
          <w:sz w:val="32"/>
          <w:szCs w:val="40"/>
          <w:lang w:val="en-US" w:eastAsia="zh-CN"/>
        </w:rPr>
      </w:pPr>
      <w:r>
        <w:rPr>
          <w:rFonts w:hint="eastAsia" w:ascii="楷体_GB2312" w:hAnsi="楷体_GB2312" w:eastAsia="楷体_GB2312" w:cs="楷体_GB2312"/>
          <w:b/>
          <w:bCs/>
          <w:color w:val="auto"/>
          <w:sz w:val="32"/>
          <w:szCs w:val="32"/>
          <w:shd w:val="clear" w:color="auto" w:fill="FFFFFF"/>
          <w:lang w:val="en-US" w:eastAsia="zh-CN"/>
        </w:rPr>
        <w:t>9.推进党支部标准化规范化建设。</w:t>
      </w:r>
      <w:r>
        <w:rPr>
          <w:rFonts w:hint="eastAsia" w:ascii="仿宋_GB2312" w:hAnsi="仿宋_GB2312" w:eastAsia="仿宋_GB2312" w:cs="仿宋_GB2312"/>
          <w:color w:val="auto"/>
          <w:sz w:val="32"/>
          <w:szCs w:val="40"/>
        </w:rPr>
        <w:t>贯彻落实《中国共产党支部工作条例》《关于推进全市党支部标准化规范化建设的指导意见》，开展机关党组织标准化规范化建设对标评星活动，使机关党支部规范化标准化达到</w:t>
      </w:r>
      <w:r>
        <w:rPr>
          <w:rFonts w:hint="default" w:ascii="Times New Roman" w:hAnsi="Times New Roman" w:eastAsia="仿宋_GB2312" w:cs="Times New Roman"/>
          <w:color w:val="auto"/>
          <w:sz w:val="32"/>
          <w:szCs w:val="40"/>
        </w:rPr>
        <w:t>95%</w:t>
      </w:r>
      <w:r>
        <w:rPr>
          <w:rFonts w:hint="eastAsia" w:ascii="仿宋_GB2312" w:hAnsi="仿宋_GB2312" w:eastAsia="仿宋_GB2312" w:cs="仿宋_GB2312"/>
          <w:color w:val="auto"/>
          <w:sz w:val="32"/>
          <w:szCs w:val="40"/>
        </w:rPr>
        <w:t>以上。持续抓好“一支部一品牌、一单位一特色”党建品牌创建活动，在市直机关党组织重点选树“四强”党支部</w:t>
      </w:r>
      <w:r>
        <w:rPr>
          <w:rFonts w:hint="default" w:ascii="Times New Roman" w:hAnsi="Times New Roman" w:eastAsia="仿宋_GB2312" w:cs="Times New Roman"/>
          <w:color w:val="auto"/>
          <w:sz w:val="32"/>
          <w:szCs w:val="40"/>
        </w:rPr>
        <w:t>100个、机关党员先锋岗50个、机关党员示范岗50</w:t>
      </w:r>
      <w:r>
        <w:rPr>
          <w:rFonts w:hint="eastAsia" w:ascii="仿宋_GB2312" w:hAnsi="仿宋_GB2312" w:eastAsia="仿宋_GB2312" w:cs="仿宋_GB2312"/>
          <w:color w:val="auto"/>
          <w:sz w:val="32"/>
          <w:szCs w:val="40"/>
        </w:rPr>
        <w:t>个。开展市直机关“创特色、亮品牌”优秀党建案例征集活动，总结推广交流市直机关党建工作亮点做法和典型经验。</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宋体" w:eastAsia="仿宋_GB2312" w:cs="仿宋_GB2312"/>
          <w:color w:val="auto"/>
          <w:sz w:val="32"/>
          <w:szCs w:val="32"/>
          <w:shd w:val="clear" w:color="auto" w:fill="FFFFFF"/>
          <w:lang w:val="en-US" w:eastAsia="zh-CN"/>
        </w:rPr>
      </w:pPr>
      <w:r>
        <w:rPr>
          <w:rFonts w:hint="eastAsia" w:ascii="楷体_GB2312" w:hAnsi="楷体_GB2312" w:eastAsia="楷体_GB2312" w:cs="楷体_GB2312"/>
          <w:b/>
          <w:bCs/>
          <w:color w:val="auto"/>
          <w:sz w:val="32"/>
          <w:szCs w:val="32"/>
          <w:shd w:val="clear" w:color="auto" w:fill="FFFFFF"/>
          <w:lang w:val="en-US" w:eastAsia="zh-CN"/>
        </w:rPr>
        <w:t>10.加强党员教育管理。</w:t>
      </w:r>
      <w:r>
        <w:rPr>
          <w:rFonts w:hint="eastAsia" w:ascii="仿宋_GB2312" w:hAnsi="宋体" w:eastAsia="仿宋_GB2312" w:cs="仿宋_GB2312"/>
          <w:color w:val="auto"/>
          <w:sz w:val="32"/>
          <w:szCs w:val="32"/>
          <w:shd w:val="clear" w:color="auto" w:fill="FFFFFF"/>
          <w:lang w:val="en-US" w:eastAsia="zh-CN"/>
        </w:rPr>
        <w:t>贯彻落实《中国共产党党员教育管理工作条例》，制定年度机关党员教育培训计划。做好年度党员发展任务分解，抓好党员发展对象培训，坚持政治标准，严把发展党员入口关。在“七一”前夕，指导市直机关党组织做好“光荣在党50年”纪念章颁发工作，抓好离退休党员队伍建设。贯彻《中国共产党党员权利保障条例》，持续深化党员承诺制、积分制管理，稳妥有序处置不合格党员。认真落实党员干部选拔任用、评先评优应听取所在党支部意见的要求，发挥党支部在选人用人中的监督作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宋体" w:eastAsia="仿宋_GB2312" w:cs="仿宋_GB2312"/>
          <w:color w:val="auto"/>
          <w:sz w:val="32"/>
          <w:szCs w:val="32"/>
          <w:shd w:val="clear" w:color="auto" w:fill="FFFFFF"/>
          <w:lang w:val="en-US" w:eastAsia="zh-CN"/>
        </w:rPr>
      </w:pPr>
      <w:r>
        <w:rPr>
          <w:rFonts w:hint="eastAsia" w:ascii="楷体_GB2312" w:hAnsi="楷体_GB2312" w:eastAsia="楷体_GB2312" w:cs="楷体_GB2312"/>
          <w:b/>
          <w:bCs/>
          <w:color w:val="auto"/>
          <w:sz w:val="32"/>
          <w:szCs w:val="32"/>
          <w:shd w:val="clear" w:color="auto" w:fill="FFFFFF"/>
          <w:lang w:val="en-US" w:eastAsia="zh-CN"/>
        </w:rPr>
        <w:t>11.选优配强党务干部。</w:t>
      </w:r>
      <w:r>
        <w:rPr>
          <w:rFonts w:hint="eastAsia" w:ascii="仿宋_GB2312" w:hAnsi="宋体" w:eastAsia="仿宋_GB2312" w:cs="仿宋_GB2312"/>
          <w:color w:val="auto"/>
          <w:sz w:val="32"/>
          <w:szCs w:val="32"/>
          <w:shd w:val="clear" w:color="auto" w:fill="FFFFFF"/>
          <w:lang w:val="en-US" w:eastAsia="zh-CN"/>
        </w:rPr>
        <w:t>按照要求选优配强机关党委、机关纪委专职党务干部，有计划安排专职党务工作者同行政、业务工作人员双向交流，推动将专兼职党务工作经历纳入干部履历。实行机关党建部门和干部人事部门负责人交叉任职，落实单位重要会议机关党委专职副书记列席、重大决策党支部书记参与研究讨论的规定。启动并实施市直机关党员党性教育基地建设工作，编发机关党建工作学习文件选编（三）。加强党务干部教育培训，分层分类举办市直机关党组织专职副书记专题培训班、党支部书记示范培训班、党务干部业务培训班、纪检干部业务能力培训班，提高党务干部履职能力素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color w:val="auto"/>
          <w:sz w:val="32"/>
          <w:szCs w:val="32"/>
          <w:shd w:val="clear" w:color="auto" w:fill="FFFFFF"/>
        </w:rPr>
      </w:pPr>
      <w:r>
        <w:rPr>
          <w:rFonts w:hint="eastAsia" w:ascii="楷体_GB2312" w:hAnsi="楷体_GB2312" w:eastAsia="楷体_GB2312" w:cs="楷体_GB2312"/>
          <w:b/>
          <w:bCs/>
          <w:color w:val="auto"/>
          <w:sz w:val="32"/>
          <w:szCs w:val="32"/>
          <w:shd w:val="clear" w:color="auto" w:fill="FFFFFF"/>
          <w:lang w:val="en-US" w:eastAsia="zh-CN"/>
        </w:rPr>
        <w:t>12.深入开展机关党建调研。</w:t>
      </w:r>
      <w:r>
        <w:rPr>
          <w:rFonts w:hint="eastAsia" w:ascii="仿宋_GB2312" w:hAnsi="仿宋_GB2312" w:eastAsia="仿宋_GB2312" w:cs="仿宋_GB2312"/>
          <w:color w:val="auto"/>
          <w:sz w:val="32"/>
          <w:szCs w:val="32"/>
          <w:shd w:val="clear" w:color="auto" w:fill="FFFFFF"/>
          <w:lang w:val="en-US" w:eastAsia="zh-CN"/>
        </w:rPr>
        <w:t>贯彻落实加强和改进调查研究工作的要求，印发年度机关党建调研工作课题，积极完成中省市重点调研任务，形成一批高质量高水平的调研成果。各级领导干部要带头开展调研，注重调研成果运用转化。制定出台市直机关党的建设工作规划，充分发挥宏观指导作用。加强机关党建信息员队伍建设，做好机关党建信息报送工作。及时编发《西安机关党建》内刊和《机关动态专报》，坚持每月通报市直机关各党组织信息报送和采用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color w:val="auto"/>
          <w:sz w:val="32"/>
          <w:szCs w:val="32"/>
          <w:shd w:val="clear" w:color="auto" w:fill="FFFFFF"/>
        </w:rPr>
      </w:pPr>
      <w:r>
        <w:rPr>
          <w:rFonts w:hint="eastAsia" w:ascii="楷体_GB2312" w:hAnsi="楷体_GB2312" w:eastAsia="楷体_GB2312" w:cs="楷体_GB2312"/>
          <w:b/>
          <w:bCs/>
          <w:color w:val="auto"/>
          <w:sz w:val="32"/>
          <w:szCs w:val="32"/>
          <w:shd w:val="clear" w:color="auto" w:fill="FFFFFF"/>
          <w:lang w:val="en-US" w:eastAsia="zh-CN"/>
        </w:rPr>
        <w:t>13.坚持以党建带群建。</w:t>
      </w:r>
      <w:r>
        <w:rPr>
          <w:rFonts w:hint="eastAsia" w:ascii="仿宋_GB2312" w:hAnsi="仿宋_GB2312" w:eastAsia="仿宋_GB2312" w:cs="仿宋_GB2312"/>
          <w:color w:val="auto"/>
          <w:sz w:val="32"/>
          <w:szCs w:val="32"/>
          <w:shd w:val="clear" w:color="auto" w:fill="FFFFFF"/>
        </w:rPr>
        <w:t>认真贯彻《关于加强和改进党的群团工作的意见》，支持机关群团组织依章依规开展工作。以“迈进新征程·展现新作为·建功新时代”为主题，举办市级机关“讲述行业故事”诗歌朗诵比赛。以群团节日庆典为契机，深入开展各具特色的工青妇文体活动。持续推进机关全民健身，举办乒乓球、羽毛球比赛，工间操培训班等。积极推进健康机关创建活动，开展机关干部职工志愿者服务、好家风分享等活动。开展夏送清凉、冬送温暖活动，关心关爱一线职工和劳模工作生活。积极开展“中国梦·劳动美”宣传教育，弘扬劳模精神、劳动精神、工匠精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color w:val="auto"/>
          <w:sz w:val="32"/>
          <w:szCs w:val="32"/>
          <w:shd w:val="clear" w:color="auto" w:fill="FFFFFF"/>
          <w:lang w:val="en-US" w:eastAsia="zh-CN"/>
        </w:rPr>
      </w:pPr>
      <w:r>
        <w:rPr>
          <w:rFonts w:hint="eastAsia" w:ascii="黑体" w:hAnsi="黑体" w:eastAsia="黑体" w:cs="黑体"/>
          <w:color w:val="auto"/>
          <w:sz w:val="32"/>
          <w:szCs w:val="32"/>
          <w:shd w:val="clear" w:color="auto" w:fill="FFFFFF"/>
          <w:lang w:val="en-US" w:eastAsia="zh-CN"/>
        </w:rPr>
        <w:t>四、聚焦正风肃纪，大力加强党风廉政建设</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color w:val="auto"/>
          <w:sz w:val="32"/>
          <w:szCs w:val="32"/>
          <w:shd w:val="clear" w:color="auto" w:fill="FFFFFF"/>
          <w:lang w:val="en-US" w:eastAsia="zh-CN"/>
        </w:rPr>
      </w:pPr>
      <w:r>
        <w:rPr>
          <w:rFonts w:hint="eastAsia" w:ascii="楷体_GB2312" w:hAnsi="楷体_GB2312" w:eastAsia="楷体_GB2312" w:cs="楷体_GB2312"/>
          <w:b/>
          <w:bCs/>
          <w:color w:val="auto"/>
          <w:sz w:val="32"/>
          <w:szCs w:val="32"/>
          <w:shd w:val="clear" w:color="auto" w:fill="FFFFFF"/>
          <w:lang w:val="en-US" w:eastAsia="zh-CN"/>
        </w:rPr>
        <w:t>14.强化党风廉政教育。</w:t>
      </w:r>
      <w:r>
        <w:rPr>
          <w:rFonts w:hint="eastAsia" w:ascii="仿宋_GB2312" w:hAnsi="仿宋_GB2312" w:eastAsia="仿宋_GB2312" w:cs="仿宋_GB2312"/>
          <w:color w:val="auto"/>
          <w:sz w:val="32"/>
          <w:szCs w:val="32"/>
          <w:shd w:val="clear" w:color="auto" w:fill="FFFFFF"/>
          <w:lang w:val="en-US" w:eastAsia="zh-CN"/>
        </w:rPr>
        <w:t>深入学习贯彻习近平总书记关于加强党风廉政建设的重要论述，贯彻落实中央纪委全会和省市纪委全会精神。采取以案说法、观看警示教育片、参观警示教育基地、开展廉政教育培训等多种形式，加强党员干部经常性反腐倡廉警示教育。分级做好对新任职市直部门中层干部廉政考核和任前廉政谈话，强化拒腐防变意识。充分运用中华优秀传统文化、革命文化和社会主义先进文化，加强机关廉政文化建设。</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default" w:ascii="仿宋_GB2312" w:hAnsi="仿宋_GB2312" w:eastAsia="仿宋_GB2312" w:cs="仿宋_GB2312"/>
          <w:color w:val="auto"/>
          <w:sz w:val="32"/>
          <w:szCs w:val="32"/>
          <w:shd w:val="clear" w:color="auto" w:fill="FFFFFF"/>
          <w:lang w:val="en-US" w:eastAsia="zh-CN"/>
        </w:rPr>
      </w:pPr>
      <w:r>
        <w:rPr>
          <w:rFonts w:hint="eastAsia" w:ascii="楷体_GB2312" w:hAnsi="楷体_GB2312" w:eastAsia="楷体_GB2312" w:cs="楷体_GB2312"/>
          <w:b/>
          <w:bCs/>
          <w:color w:val="auto"/>
          <w:sz w:val="32"/>
          <w:szCs w:val="32"/>
          <w:shd w:val="clear" w:color="auto" w:fill="FFFFFF"/>
          <w:lang w:val="en-US" w:eastAsia="zh-CN"/>
        </w:rPr>
        <w:t>15.深入转变工作作风。</w:t>
      </w:r>
      <w:r>
        <w:rPr>
          <w:rFonts w:hint="eastAsia" w:ascii="仿宋_GB2312" w:hAnsi="仿宋_GB2312" w:eastAsia="仿宋_GB2312" w:cs="仿宋_GB2312"/>
          <w:color w:val="auto"/>
          <w:sz w:val="32"/>
          <w:szCs w:val="32"/>
          <w:shd w:val="clear" w:color="auto" w:fill="FFFFFF"/>
          <w:lang w:val="en-US" w:eastAsia="zh-CN"/>
        </w:rPr>
        <w:t>严格执行首问负责制、限时办结制、服务承诺制等工作制度，落实为基层减负“七条具体措施”，带头执行“四不两直”工作方法，培育务实作风。坚决反对形式主义、官僚主义，通过明察暗访、监督举报、重点督办，重点纠治贯彻落实上级决策部署装样子、做选择、搞变通，维护群众利益不担当不作为，发文开会不切实际，落实工作重形不重效、重痕不重绩，督查检查考核大范围要台帐资料，多头重复向基层派任务要表格等问题，严肃查处形式主义、官僚主义典型问题。</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color w:val="auto"/>
          <w:sz w:val="32"/>
          <w:szCs w:val="32"/>
          <w:shd w:val="clear" w:color="auto" w:fill="FFFFFF"/>
          <w:lang w:val="en-US" w:eastAsia="zh-CN"/>
        </w:rPr>
      </w:pPr>
      <w:r>
        <w:rPr>
          <w:rFonts w:hint="eastAsia" w:ascii="楷体_GB2312" w:hAnsi="楷体_GB2312" w:eastAsia="楷体_GB2312" w:cs="楷体_GB2312"/>
          <w:b/>
          <w:bCs/>
          <w:color w:val="auto"/>
          <w:sz w:val="32"/>
          <w:szCs w:val="32"/>
          <w:shd w:val="clear" w:color="auto" w:fill="FFFFFF"/>
          <w:lang w:val="en-US" w:eastAsia="zh-CN"/>
        </w:rPr>
        <w:t>16.严格监督执纪问责。</w:t>
      </w:r>
      <w:r>
        <w:rPr>
          <w:rFonts w:hint="eastAsia" w:ascii="仿宋_GB2312" w:hAnsi="仿宋_GB2312" w:eastAsia="仿宋_GB2312" w:cs="仿宋_GB2312"/>
          <w:color w:val="auto"/>
          <w:sz w:val="32"/>
          <w:szCs w:val="32"/>
          <w:shd w:val="clear" w:color="auto" w:fill="FFFFFF"/>
          <w:lang w:val="en-US" w:eastAsia="zh-CN"/>
        </w:rPr>
        <w:t>认真学习贯彻《中国共产党纪律检查委员会工作条例》，突出政治监督，加强对贯彻落实习近平总书记重要指示批示精神、中央决策部署和省委市委重点工作落实情况的监督检查。在西安机关党建网站设立党风政风监督和作风建设监督举报平台，做实日常监督。紧盯违反中央八项规定精神及各类隐形变异问题，紧盯节日期间易发的违纪违法问题，强化教育管理与监督执纪问责。贯彻落实《党组讨论和决定党员处分事项工作程序规定（试行）》，精准运用监督执纪“四种形态”。认真抓好案件检查审理和备案案件管理处置工作，提升案件办理规范化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color w:val="auto"/>
          <w:sz w:val="32"/>
          <w:szCs w:val="32"/>
          <w:shd w:val="clear" w:color="auto" w:fill="FFFFFF"/>
          <w:lang w:val="en-US" w:eastAsia="zh-CN"/>
        </w:rPr>
      </w:pPr>
      <w:r>
        <w:rPr>
          <w:rFonts w:hint="eastAsia" w:ascii="黑体" w:hAnsi="黑体" w:eastAsia="黑体" w:cs="黑体"/>
          <w:color w:val="auto"/>
          <w:sz w:val="32"/>
          <w:szCs w:val="32"/>
          <w:shd w:val="clear" w:color="auto" w:fill="FFFFFF"/>
          <w:lang w:val="en-US" w:eastAsia="zh-CN"/>
        </w:rPr>
        <w:t>五、聚焦中心工作，大力破解“两张皮”问题</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default" w:ascii="仿宋_GB2312" w:hAnsi="仿宋_GB2312" w:eastAsia="仿宋_GB2312" w:cs="仿宋_GB2312"/>
          <w:color w:val="auto"/>
          <w:sz w:val="32"/>
          <w:szCs w:val="32"/>
          <w:shd w:val="clear" w:color="auto" w:fill="FFFFFF"/>
          <w:lang w:val="en-US" w:eastAsia="zh-CN"/>
        </w:rPr>
      </w:pPr>
      <w:r>
        <w:rPr>
          <w:rFonts w:hint="eastAsia" w:ascii="楷体_GB2312" w:hAnsi="楷体_GB2312" w:eastAsia="楷体_GB2312" w:cs="楷体_GB2312"/>
          <w:b/>
          <w:bCs/>
          <w:color w:val="auto"/>
          <w:sz w:val="32"/>
          <w:szCs w:val="32"/>
          <w:shd w:val="clear" w:color="auto" w:fill="FFFFFF"/>
          <w:lang w:val="en-US" w:eastAsia="zh-CN"/>
        </w:rPr>
        <w:t>17.助力机关党建和业务工作深度融合</w:t>
      </w:r>
      <w:r>
        <w:rPr>
          <w:rFonts w:hint="eastAsia" w:ascii="仿宋_GB2312" w:hAnsi="仿宋_GB2312" w:eastAsia="仿宋_GB2312" w:cs="仿宋_GB2312"/>
          <w:color w:val="auto"/>
          <w:sz w:val="32"/>
          <w:szCs w:val="32"/>
          <w:shd w:val="clear" w:color="auto" w:fill="FFFFFF"/>
          <w:lang w:val="en-US" w:eastAsia="zh-CN"/>
        </w:rPr>
        <w:t>。</w:t>
      </w:r>
      <w:r>
        <w:rPr>
          <w:rFonts w:hint="eastAsia" w:ascii="仿宋_GB2312" w:hAnsi="仿宋_GB2312" w:eastAsia="仿宋_GB2312" w:cs="仿宋_GB2312"/>
          <w:color w:val="auto"/>
          <w:sz w:val="32"/>
          <w:szCs w:val="32"/>
          <w:shd w:val="clear" w:color="auto" w:fill="FFFFFF"/>
        </w:rPr>
        <w:t>贯彻落实《关于破解“两张皮”问题推动中央和国家机关党建和业务工作深度融合的意见》，对标对表中央和省委市委关于机关党建工作的安排部署，坚持党建与业务工作同部署、同安排、同检查、同考核，围绕中心抓党建、抓好党建促发展，着力解决机关党建“两张皮”“灯下黑”问题。适时召开市直机关党建和业务工作深度融合推进会，积极打造“民有所呼、我有所行”基层党建品牌，持续抓好“三服务一建设”“双联双送双促”服务小微企业等活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color w:val="auto"/>
          <w:sz w:val="32"/>
          <w:szCs w:val="32"/>
          <w:shd w:val="clear" w:color="auto" w:fill="FFFFFF"/>
        </w:rPr>
      </w:pPr>
      <w:r>
        <w:rPr>
          <w:rFonts w:hint="eastAsia" w:ascii="楷体_GB2312" w:hAnsi="楷体_GB2312" w:eastAsia="楷体_GB2312" w:cs="楷体_GB2312"/>
          <w:b/>
          <w:bCs/>
          <w:color w:val="auto"/>
          <w:sz w:val="32"/>
          <w:szCs w:val="32"/>
          <w:shd w:val="clear" w:color="auto" w:fill="FFFFFF"/>
          <w:lang w:val="en-US" w:eastAsia="zh-CN"/>
        </w:rPr>
        <w:t>18.助力疫情防控和经济社会发展</w:t>
      </w:r>
      <w:r>
        <w:rPr>
          <w:rFonts w:hint="eastAsia" w:ascii="仿宋_GB2312" w:hAnsi="仿宋_GB2312" w:eastAsia="仿宋_GB2312" w:cs="仿宋_GB2312"/>
          <w:color w:val="auto"/>
          <w:sz w:val="32"/>
          <w:szCs w:val="32"/>
          <w:shd w:val="clear" w:color="auto" w:fill="FFFFFF"/>
          <w:lang w:val="en-US" w:eastAsia="zh-CN"/>
        </w:rPr>
        <w:t>。深入贯彻习近平总书记关于统筹疫情防控和经济社会发展的重要讲话精神，落实中央决策部署和省委市委统一安排，在统筹推进疫情防控和经济社会发展中发挥基层党组织战斗堡垒作用和党员先锋模范作用。积极开展机关党员干部下沉社区参与基层一线疫情防控工作，叫响“我在阵地在”，坚决做到“疫情防控‘七带头’，我是党员我先行”。围绕疫情防控、恢复经济发展和社会生活秩序，做好火线发展党员、宣传先进典型、关怀帮扶一线党员干部等工作，为夺取“双胜利”提供坚强保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default" w:ascii="仿宋_GB2312" w:hAnsi="仿宋_GB2312" w:eastAsia="仿宋_GB2312" w:cs="仿宋_GB2312"/>
          <w:color w:val="auto"/>
          <w:sz w:val="32"/>
          <w:szCs w:val="32"/>
          <w:shd w:val="clear" w:color="auto" w:fill="FFFFFF"/>
          <w:lang w:val="en-US" w:eastAsia="zh-CN"/>
        </w:rPr>
      </w:pPr>
      <w:r>
        <w:rPr>
          <w:rFonts w:hint="eastAsia" w:ascii="楷体_GB2312" w:hAnsi="楷体_GB2312" w:eastAsia="楷体_GB2312" w:cs="楷体_GB2312"/>
          <w:b/>
          <w:bCs/>
          <w:color w:val="auto"/>
          <w:sz w:val="32"/>
          <w:szCs w:val="32"/>
          <w:shd w:val="clear" w:color="auto" w:fill="FFFFFF"/>
          <w:lang w:val="en-US" w:eastAsia="zh-CN"/>
        </w:rPr>
        <w:t>19.助力乡村振兴发展</w:t>
      </w:r>
      <w:r>
        <w:rPr>
          <w:rFonts w:hint="eastAsia" w:ascii="仿宋_GB2312" w:hAnsi="仿宋_GB2312" w:eastAsia="仿宋_GB2312" w:cs="仿宋_GB2312"/>
          <w:color w:val="auto"/>
          <w:sz w:val="32"/>
          <w:szCs w:val="32"/>
          <w:shd w:val="clear" w:color="auto" w:fill="FFFFFF"/>
          <w:lang w:val="en-US" w:eastAsia="zh-CN"/>
        </w:rPr>
        <w:t>。</w:t>
      </w:r>
      <w:r>
        <w:rPr>
          <w:rFonts w:hint="eastAsia" w:ascii="仿宋_GB2312" w:hAnsi="仿宋_GB2312" w:eastAsia="仿宋_GB2312" w:cs="仿宋_GB2312"/>
          <w:color w:val="auto"/>
          <w:sz w:val="32"/>
          <w:szCs w:val="32"/>
          <w:shd w:val="clear" w:color="auto" w:fill="FFFFFF"/>
        </w:rPr>
        <w:t>扎实推进抓党建促乡村振兴，开展机关党组织结对共建活动，帮助帮扶村党支部建强战斗堡垒，不断提高帮扶村党组织带领群众共同富裕本领。坚持以能力素质、骨干队伍、基层堡垒、集体经济、农村人才、乡村治理“六大筑基行动”为抓手，共同打造党建引领乡村振兴示范点，做好巩固拓展脱贫攻坚成果同乡村振兴有效衔接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color w:val="auto"/>
          <w:sz w:val="32"/>
          <w:szCs w:val="32"/>
          <w:shd w:val="clear" w:color="auto" w:fill="FFFFFF"/>
          <w:lang w:val="en-US" w:eastAsia="zh-CN"/>
        </w:rPr>
      </w:pPr>
      <w:r>
        <w:rPr>
          <w:rFonts w:hint="eastAsia" w:ascii="黑体" w:hAnsi="黑体" w:eastAsia="黑体" w:cs="黑体"/>
          <w:color w:val="auto"/>
          <w:sz w:val="32"/>
          <w:szCs w:val="32"/>
          <w:shd w:val="clear" w:color="auto" w:fill="FFFFFF"/>
          <w:lang w:val="en-US" w:eastAsia="zh-CN"/>
        </w:rPr>
        <w:t>六、聚焦组织领导，大力构建机关党建齐抓共管格局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color w:val="auto"/>
          <w:sz w:val="32"/>
          <w:szCs w:val="32"/>
          <w:shd w:val="clear" w:color="auto" w:fill="FFFFFF"/>
          <w:lang w:val="en-US" w:eastAsia="zh-CN"/>
        </w:rPr>
      </w:pPr>
      <w:r>
        <w:rPr>
          <w:rFonts w:hint="eastAsia" w:ascii="楷体_GB2312" w:hAnsi="楷体_GB2312" w:eastAsia="楷体_GB2312" w:cs="楷体_GB2312"/>
          <w:b/>
          <w:bCs/>
          <w:color w:val="auto"/>
          <w:sz w:val="32"/>
          <w:szCs w:val="32"/>
          <w:shd w:val="clear" w:color="auto" w:fill="FFFFFF"/>
          <w:lang w:val="en-US" w:eastAsia="zh-CN"/>
        </w:rPr>
        <w:t>20.落实党建工作责任制。</w:t>
      </w:r>
      <w:r>
        <w:rPr>
          <w:rFonts w:hint="eastAsia" w:ascii="仿宋_GB2312" w:hAnsi="仿宋_GB2312" w:eastAsia="仿宋_GB2312" w:cs="仿宋_GB2312"/>
          <w:color w:val="auto"/>
          <w:sz w:val="32"/>
          <w:szCs w:val="32"/>
          <w:shd w:val="clear" w:color="auto" w:fill="FFFFFF"/>
          <w:lang w:val="en-US" w:eastAsia="zh-CN"/>
        </w:rPr>
        <w:t>贯彻落实《党委（党组）落实全面从严治党主体责任规定》，牢固树立“抓机关党建是本职、不抓机关党建是失职、抓不好机关党建是渎职”的理念，各级党组织书记要切实履行第一责任人职责，班子成员要履行“一岗双责”，抓好党员领导干部党建联系点。要夯实市直部门党组（党委）主体责任、市直机关工委指导督促责任、机关党委（总支）直接责任，形成上下联动、齐抓共管、统一高效的工作机制。贯彻落实市直机关党建考核工作办法，深化机关党建分级述职评议考核工作。完善部门机关党建工作机制，进一步健全体现工作要求、符合部门特点、务实管用的党建工作制度。</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color w:val="auto"/>
          <w:sz w:val="32"/>
          <w:szCs w:val="32"/>
          <w:shd w:val="clear" w:color="auto" w:fill="FFFFFF"/>
          <w:lang w:val="en-US" w:eastAsia="zh-CN"/>
        </w:rPr>
      </w:pPr>
      <w:r>
        <w:rPr>
          <w:rFonts w:hint="eastAsia" w:ascii="楷体_GB2312" w:hAnsi="楷体_GB2312" w:eastAsia="楷体_GB2312" w:cs="楷体_GB2312"/>
          <w:b/>
          <w:bCs/>
          <w:color w:val="auto"/>
          <w:sz w:val="32"/>
          <w:szCs w:val="32"/>
          <w:shd w:val="clear" w:color="auto" w:fill="FFFFFF"/>
          <w:lang w:val="en-US" w:eastAsia="zh-CN"/>
        </w:rPr>
        <w:t>21.持续抓好机关党建督导检查。</w:t>
      </w:r>
      <w:r>
        <w:rPr>
          <w:rFonts w:hint="eastAsia" w:ascii="仿宋_GB2312" w:hAnsi="仿宋_GB2312" w:eastAsia="仿宋_GB2312" w:cs="仿宋_GB2312"/>
          <w:color w:val="auto"/>
          <w:sz w:val="32"/>
          <w:szCs w:val="32"/>
          <w:shd w:val="clear" w:color="auto" w:fill="FFFFFF"/>
        </w:rPr>
        <w:t>贯彻落实</w:t>
      </w:r>
      <w:r>
        <w:rPr>
          <w:rFonts w:hint="eastAsia" w:ascii="仿宋_GB2312" w:hAnsi="仿宋_GB2312" w:eastAsia="仿宋_GB2312" w:cs="仿宋_GB2312"/>
          <w:color w:val="auto"/>
          <w:sz w:val="32"/>
          <w:szCs w:val="32"/>
          <w:shd w:val="clear" w:color="auto" w:fill="FFFFFF"/>
          <w:lang w:val="en-US" w:eastAsia="zh-CN"/>
        </w:rPr>
        <w:t>市办字</w:t>
      </w:r>
      <w:r>
        <w:rPr>
          <w:rFonts w:hint="default" w:ascii="Times New Roman" w:hAnsi="Times New Roman" w:eastAsia="仿宋_GB2312" w:cs="Times New Roman"/>
          <w:color w:val="auto"/>
          <w:sz w:val="32"/>
          <w:szCs w:val="32"/>
          <w:shd w:val="clear" w:color="auto" w:fill="FFFFFF"/>
          <w:lang w:val="en-US" w:eastAsia="zh-CN"/>
        </w:rPr>
        <w:t>〔2021〕17</w:t>
      </w:r>
      <w:r>
        <w:rPr>
          <w:rFonts w:hint="eastAsia" w:ascii="仿宋_GB2312" w:hAnsi="仿宋_GB2312" w:eastAsia="仿宋_GB2312" w:cs="仿宋_GB2312"/>
          <w:color w:val="auto"/>
          <w:sz w:val="32"/>
          <w:szCs w:val="32"/>
          <w:shd w:val="clear" w:color="auto" w:fill="FFFFFF"/>
          <w:lang w:val="en-US" w:eastAsia="zh-CN"/>
        </w:rPr>
        <w:t>号文件要求，</w:t>
      </w:r>
      <w:r>
        <w:rPr>
          <w:rFonts w:hint="eastAsia" w:ascii="仿宋_GB2312" w:hAnsi="仿宋_GB2312" w:eastAsia="仿宋_GB2312" w:cs="仿宋_GB2312"/>
          <w:color w:val="auto"/>
          <w:sz w:val="32"/>
          <w:szCs w:val="32"/>
          <w:shd w:val="clear" w:color="auto" w:fill="FFFFFF"/>
        </w:rPr>
        <w:t>指导督促市级部门党组（党委）履行机关党建主体责任</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lang w:val="en-US" w:eastAsia="zh-CN"/>
        </w:rPr>
        <w:t>按照市直机关党建督查工作办法</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val="en-US" w:eastAsia="zh-CN"/>
        </w:rPr>
        <w:t>常态化开展机关党建督导检查。对市直部门党组（党委）、党员领导干部落实党建工作责任制和</w:t>
      </w:r>
      <w:r>
        <w:rPr>
          <w:rFonts w:hint="eastAsia" w:ascii="仿宋_GB2312" w:hAnsi="仿宋_GB2312" w:eastAsia="仿宋_GB2312" w:cs="仿宋_GB2312"/>
          <w:color w:val="auto"/>
          <w:sz w:val="32"/>
          <w:szCs w:val="32"/>
          <w:shd w:val="clear" w:color="auto" w:fill="FFFFFF"/>
        </w:rPr>
        <w:t>党内法规制度执行情况</w:t>
      </w:r>
      <w:r>
        <w:rPr>
          <w:rFonts w:hint="eastAsia" w:ascii="仿宋_GB2312" w:hAnsi="仿宋_GB2312" w:eastAsia="仿宋_GB2312" w:cs="仿宋_GB2312"/>
          <w:color w:val="auto"/>
          <w:sz w:val="32"/>
          <w:szCs w:val="32"/>
          <w:shd w:val="clear" w:color="auto" w:fill="FFFFFF"/>
          <w:lang w:val="en-US" w:eastAsia="zh-CN"/>
        </w:rPr>
        <w:t>做好日常督导</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val="en-US" w:eastAsia="zh-CN"/>
        </w:rPr>
        <w:t>对年度机关党建阶段性重要活动、专项部署、专项治理等工作推进情况进行专项督查，对市直机关党组织贯彻落实年度党的工作会议情况及年度重点工作推进落实情况进行重点</w:t>
      </w:r>
      <w:r>
        <w:rPr>
          <w:rFonts w:hint="eastAsia" w:ascii="仿宋_GB2312" w:hAnsi="仿宋_GB2312" w:eastAsia="仿宋_GB2312" w:cs="仿宋_GB2312"/>
          <w:color w:val="auto"/>
          <w:sz w:val="32"/>
          <w:szCs w:val="32"/>
          <w:shd w:val="clear" w:color="auto" w:fill="FFFFFF"/>
        </w:rPr>
        <w:t>督查。</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楷体_GB2312" w:hAnsi="楷体_GB2312" w:eastAsia="楷体_GB2312" w:cs="楷体_GB2312"/>
          <w:b/>
          <w:bCs/>
          <w:color w:val="auto"/>
          <w:sz w:val="32"/>
          <w:szCs w:val="32"/>
          <w:shd w:val="clear" w:color="auto" w:fill="FFFFFF"/>
          <w:lang w:val="en-US" w:eastAsia="zh-CN"/>
        </w:rPr>
        <w:t>22.强化机关自身建设。</w:t>
      </w:r>
      <w:r>
        <w:rPr>
          <w:rFonts w:hint="eastAsia" w:ascii="仿宋_GB2312" w:hAnsi="仿宋_GB2312" w:eastAsia="仿宋_GB2312" w:cs="仿宋_GB2312"/>
          <w:color w:val="auto"/>
          <w:sz w:val="32"/>
          <w:szCs w:val="32"/>
          <w:shd w:val="clear" w:color="auto" w:fill="FFFFFF"/>
          <w:lang w:val="en-US" w:eastAsia="zh-CN"/>
        </w:rPr>
        <w:t>坚持贯彻民主集中制原则，认真开好工委委务会会议、书记办公会议，做到重大问题集体研究决定。坚持工作周安排、月计划、季小结、年总评，制定出台机关目标责任考核办法、公务员平时考核实施办法。坚持工委各部门分工联系市直机关党组织工作机制，聚焦年度工作要点和目标责任，实行任务清单化、管理项目化，工作顺排流程、倒排工期，确保各项工作走在前、作表率。坚持抓好机关公文、财务、人事等工作，巩固巡察和审计整改成果，持续推进机关工作规范化制度化科学化。注重发挥机关法律顾问作用，深化机关平安建设和法治建设。严格“三不四做到”要求，研究制定打造“五型”机关、争当“五型”干部实施意见，创建机关“四个一流”，推动新时代机关党建工作高质量发展，以优异成绩向党的二十大献礼。</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shd w:val="clear" w:color="auto" w:fill="FFFFFF"/>
          <w14:textFill>
            <w14:solidFill>
              <w14:schemeClr w14:val="tx1"/>
            </w14:solidFill>
          </w14:textFill>
        </w:rPr>
        <w:t>三、部门预算单位构成</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从预算单位构成看，本部门的部门预算包括部门本级（机关）和所属事业单位预算。</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中共西安市直属机关工作委员会独立编制机构数为</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个，属行政机关，下属参公事业单位1个（不单独核算）。</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纳入本部门 20</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20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 xml:space="preserve"> 年部门预算编制范围的二级预算单位 共有1 个，包括</w:t>
      </w:r>
    </w:p>
    <w:tbl>
      <w:tblPr>
        <w:tblStyle w:val="13"/>
        <w:tblW w:w="10471" w:type="dxa"/>
        <w:tblInd w:w="11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8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1621" w:type="dxa"/>
          </w:tcPr>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320" w:firstLineChars="100"/>
              <w:jc w:val="both"/>
              <w:textAlignment w:val="auto"/>
              <w:rPr>
                <w:rFonts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序</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号</w:t>
            </w:r>
          </w:p>
        </w:tc>
        <w:tc>
          <w:tcPr>
            <w:tcW w:w="8850" w:type="dxa"/>
          </w:tcPr>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1" w:type="dxa"/>
          </w:tcPr>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1</w:t>
            </w:r>
          </w:p>
        </w:tc>
        <w:tc>
          <w:tcPr>
            <w:tcW w:w="8850" w:type="dxa"/>
          </w:tcPr>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中共西安市直属机关工作委员会</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部门本级（机关）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1" w:type="dxa"/>
          </w:tcPr>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shd w:val="clear" w:color="auto" w:fill="FFFFFF"/>
                <w14:textFill>
                  <w14:solidFill>
                    <w14:schemeClr w14:val="tx1"/>
                  </w14:solidFill>
                </w14:textFill>
              </w:rPr>
            </w:pPr>
          </w:p>
        </w:tc>
        <w:tc>
          <w:tcPr>
            <w:tcW w:w="8850" w:type="dxa"/>
          </w:tcPr>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shd w:val="clear" w:color="auto" w:fill="FFFFFF"/>
                <w14:textFill>
                  <w14:solidFill>
                    <w14:schemeClr w14:val="tx1"/>
                  </w14:solidFill>
                </w14:textFill>
              </w:rPr>
            </w:pPr>
          </w:p>
        </w:tc>
      </w:tr>
    </w:tbl>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仿宋" w:hAnsi="仿宋" w:eastAsia="仿宋" w:cs="仿宋"/>
          <w:b/>
          <w:bCs/>
          <w:color w:val="000000" w:themeColor="text1"/>
          <w:sz w:val="32"/>
          <w:szCs w:val="32"/>
          <w:shd w:val="clear" w:color="auto" w:fill="FFFFFF"/>
          <w14:textFill>
            <w14:solidFill>
              <w14:schemeClr w14:val="tx1"/>
            </w14:solidFill>
          </w14:textFill>
        </w:rPr>
      </w:pPr>
      <w:r>
        <w:rPr>
          <w:rFonts w:hint="eastAsia" w:ascii="仿宋" w:hAnsi="仿宋" w:eastAsia="仿宋" w:cs="仿宋"/>
          <w:b/>
          <w:bCs/>
          <w:color w:val="000000" w:themeColor="text1"/>
          <w:sz w:val="32"/>
          <w:szCs w:val="32"/>
          <w:shd w:val="clear" w:color="auto" w:fill="FFFFFF"/>
          <w14:textFill>
            <w14:solidFill>
              <w14:schemeClr w14:val="tx1"/>
            </w14:solidFill>
          </w14:textFill>
        </w:rPr>
        <w:t>四、部门人员情况说明</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color w:val="000000" w:themeColor="text1"/>
          <w:sz w:val="36"/>
          <w:szCs w:val="36"/>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截止2021年底</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本部门人员编制42人，其中</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行政编制</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37人</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、事业编制5人，内设</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个部（室）</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1个下属事业单位，1个双管单位</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。实有</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人员43</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人</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其中</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行政</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37人</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、事业</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人，</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单位管理的</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离退休</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人员28</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人。</w:t>
      </w:r>
    </w:p>
    <w:p>
      <w:pPr>
        <w:pStyle w:val="11"/>
        <w:keepNext w:val="0"/>
        <w:keepLines w:val="0"/>
        <w:pageBreakBefore w:val="0"/>
        <w:widowControl/>
        <w:kinsoku/>
        <w:wordWrap/>
        <w:overflowPunct/>
        <w:topLinePunct w:val="0"/>
        <w:autoSpaceDE/>
        <w:autoSpaceDN/>
        <w:bidi w:val="0"/>
        <w:adjustRightInd/>
        <w:snapToGrid/>
        <w:spacing w:beforeAutospacing="0" w:afterAutospacing="0" w:line="720" w:lineRule="auto"/>
        <w:jc w:val="center"/>
        <w:textAlignment w:val="auto"/>
        <w:rPr>
          <w:rFonts w:hint="eastAsia" w:ascii="黑体" w:hAnsi="黑体" w:eastAsia="黑体" w:cs="黑体"/>
          <w:b w:val="0"/>
          <w:bCs w:val="0"/>
          <w:color w:val="000000" w:themeColor="text1"/>
          <w:sz w:val="36"/>
          <w:szCs w:val="36"/>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drawing>
          <wp:inline distT="0" distB="0" distL="114300" distR="114300">
            <wp:extent cx="4241165" cy="2132965"/>
            <wp:effectExtent l="0" t="0" r="6985" b="635"/>
            <wp:docPr id="2" name="图片 2" descr="16505305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50530501(1)"/>
                    <pic:cNvPicPr>
                      <a:picLocks noChangeAspect="1"/>
                    </pic:cNvPicPr>
                  </pic:nvPicPr>
                  <pic:blipFill>
                    <a:blip r:embed="rId4"/>
                    <a:stretch>
                      <a:fillRect/>
                    </a:stretch>
                  </pic:blipFill>
                  <pic:spPr>
                    <a:xfrm>
                      <a:off x="0" y="0"/>
                      <a:ext cx="4241165" cy="2132965"/>
                    </a:xfrm>
                    <a:prstGeom prst="rect">
                      <a:avLst/>
                    </a:prstGeom>
                  </pic:spPr>
                </pic:pic>
              </a:graphicData>
            </a:graphic>
          </wp:inline>
        </w:drawing>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黑体" w:hAnsi="黑体" w:eastAsia="黑体" w:cs="黑体"/>
          <w:b w:val="0"/>
          <w:bCs w:val="0"/>
          <w:color w:val="000000" w:themeColor="text1"/>
          <w:sz w:val="36"/>
          <w:szCs w:val="36"/>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center"/>
        <w:textAlignment w:val="auto"/>
        <w:rPr>
          <w:rFonts w:hint="eastAsia" w:ascii="黑体" w:hAnsi="黑体" w:eastAsia="黑体" w:cs="黑体"/>
          <w:b w:val="0"/>
          <w:bCs w:val="0"/>
          <w:color w:val="000000" w:themeColor="text1"/>
          <w:sz w:val="32"/>
          <w:szCs w:val="32"/>
          <w:shd w:val="clear" w:color="auto" w:fill="FFFFFF"/>
          <w:lang w:val="en-US" w:eastAsia="zh-CN"/>
          <w14:textFill>
            <w14:solidFill>
              <w14:schemeClr w14:val="tx1"/>
            </w14:solidFill>
          </w14:textFill>
        </w:rPr>
      </w:pPr>
      <w:r>
        <w:rPr>
          <w:rFonts w:hint="eastAsia" w:ascii="黑体" w:hAnsi="黑体" w:eastAsia="黑体" w:cs="黑体"/>
          <w:b w:val="0"/>
          <w:bCs w:val="0"/>
          <w:color w:val="000000" w:themeColor="text1"/>
          <w:sz w:val="36"/>
          <w:szCs w:val="36"/>
          <w:shd w:val="clear" w:color="auto" w:fill="FFFFFF"/>
          <w:lang w:val="en-US" w:eastAsia="zh-CN"/>
          <w14:textFill>
            <w14:solidFill>
              <w14:schemeClr w14:val="tx1"/>
            </w14:solidFill>
          </w14:textFill>
        </w:rPr>
        <w:t>第二部分  收支情况</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仿宋" w:hAnsi="仿宋" w:eastAsia="仿宋" w:cs="仿宋"/>
          <w:b/>
          <w:bCs/>
          <w:color w:val="000000" w:themeColor="text1"/>
          <w:sz w:val="32"/>
          <w:szCs w:val="32"/>
          <w:shd w:val="clear" w:color="auto" w:fill="FFFFFF"/>
          <w14:textFill>
            <w14:solidFill>
              <w14:schemeClr w14:val="tx1"/>
            </w14:solidFill>
          </w14:textFill>
        </w:rPr>
      </w:pPr>
      <w:r>
        <w:rPr>
          <w:rFonts w:hint="eastAsia" w:ascii="仿宋" w:hAnsi="仿宋" w:eastAsia="仿宋" w:cs="仿宋"/>
          <w:b/>
          <w:bCs/>
          <w:color w:val="000000" w:themeColor="text1"/>
          <w:sz w:val="32"/>
          <w:szCs w:val="32"/>
          <w:shd w:val="clear" w:color="auto" w:fill="FFFFFF"/>
          <w:lang w:val="en-US" w:eastAsia="zh-CN"/>
          <w14:textFill>
            <w14:solidFill>
              <w14:schemeClr w14:val="tx1"/>
            </w14:solidFill>
          </w14:textFill>
        </w:rPr>
        <w:t>五</w:t>
      </w:r>
      <w:r>
        <w:rPr>
          <w:rFonts w:hint="eastAsia" w:ascii="仿宋" w:hAnsi="仿宋" w:eastAsia="仿宋" w:cs="仿宋"/>
          <w:b/>
          <w:bCs/>
          <w:color w:val="000000" w:themeColor="text1"/>
          <w:sz w:val="32"/>
          <w:szCs w:val="32"/>
          <w:shd w:val="clear" w:color="auto" w:fill="FFFFFF"/>
          <w14:textFill>
            <w14:solidFill>
              <w14:schemeClr w14:val="tx1"/>
            </w14:solidFill>
          </w14:textFill>
        </w:rPr>
        <w:t>、</w:t>
      </w:r>
      <w:r>
        <w:rPr>
          <w:rFonts w:hint="eastAsia" w:ascii="仿宋" w:hAnsi="仿宋" w:eastAsia="仿宋" w:cs="仿宋"/>
          <w:b/>
          <w:bCs/>
          <w:color w:val="000000" w:themeColor="text1"/>
          <w:sz w:val="32"/>
          <w:szCs w:val="32"/>
          <w:shd w:val="clear" w:color="auto" w:fill="FFFFFF"/>
          <w:lang w:eastAsia="zh-CN"/>
          <w14:textFill>
            <w14:solidFill>
              <w14:schemeClr w14:val="tx1"/>
            </w14:solidFill>
          </w14:textFill>
        </w:rPr>
        <w:t>2022</w:t>
      </w:r>
      <w:r>
        <w:rPr>
          <w:rFonts w:hint="eastAsia" w:ascii="仿宋" w:hAnsi="仿宋" w:eastAsia="仿宋" w:cs="仿宋"/>
          <w:b/>
          <w:bCs/>
          <w:color w:val="000000" w:themeColor="text1"/>
          <w:sz w:val="32"/>
          <w:szCs w:val="32"/>
          <w:shd w:val="clear" w:color="auto" w:fill="FFFFFF"/>
          <w14:textFill>
            <w14:solidFill>
              <w14:schemeClr w14:val="tx1"/>
            </w14:solidFill>
          </w14:textFill>
        </w:rPr>
        <w:t>年部门预算收支说明</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(一)收支预算总体情况</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320" w:firstLineChars="1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按照综合预算的原则，本部门所有收入和支出均纳入部门预算管理。2022年本部门预算收入1204.83万元，其中一般公共预算拨款收入1204.83万元，政府性基金拨款收入0万元；2022年本部门预算收入较上年减少24.92万元，主要原因经费压缩，人员经费减少</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2022年本部门预算支出1204.82万元，其中一般公共预算拨款支出1204.83万元，政府性基金拨款支出0万元；2022年本部门预算支出较上年减少24.92万元，主要原因经费压缩，人员经费减少</w:t>
      </w:r>
      <w:r>
        <w:rPr>
          <w:rFonts w:hint="eastAsia" w:ascii="仿宋_GB2312" w:hAnsi="仿宋_GB2312" w:eastAsia="仿宋_GB2312" w:cs="仿宋_GB2312"/>
          <w:color w:val="000000" w:themeColor="text1"/>
          <w:sz w:val="32"/>
          <w:szCs w:val="32"/>
          <w14:textFill>
            <w14:solidFill>
              <w14:schemeClr w14:val="tx1"/>
            </w14:solidFill>
          </w14:textFill>
        </w:rPr>
        <w:t>。</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 xml:space="preserve">（二） 财政拨款收支情况 </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320" w:firstLineChars="1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2022年本部门财政拨款收入1204.82万元，其中一般公共预算拨款收入1204.83万元，政府性基金拨款收入0万元；2022年本部门财政拨款收入较上年较上年减少24.92万元，主要原因经费压缩，人员经费减少</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2022年本部门财政拨款支出1204.83万元，其中一般公共预算拨款支出1204.83万元，政府性基金拨款支出0万元；2022年本部门财政拨款支出较上年减少24.92万元，主要原因经费压缩，人员经费减少</w:t>
      </w:r>
      <w:r>
        <w:rPr>
          <w:rFonts w:hint="eastAsia" w:ascii="仿宋_GB2312" w:hAnsi="仿宋_GB2312" w:eastAsia="仿宋_GB2312" w:cs="仿宋_GB2312"/>
          <w:color w:val="000000" w:themeColor="text1"/>
          <w:sz w:val="32"/>
          <w:szCs w:val="32"/>
          <w14:textFill>
            <w14:solidFill>
              <w14:schemeClr w14:val="tx1"/>
            </w14:solidFill>
          </w14:textFill>
        </w:rPr>
        <w:t>。</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（三）一般公共预算拨款支出明细情况</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一般公共预算当年拨款规模变化情况。</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320" w:firstLineChars="1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2022年本部门当年一般公共预算拨款支出1204.83万元，较上年减少24.92万元，主要原因经费压缩，人员经费减少</w:t>
      </w:r>
      <w:r>
        <w:rPr>
          <w:rFonts w:hint="eastAsia" w:ascii="仿宋_GB2312" w:hAnsi="仿宋_GB2312" w:eastAsia="仿宋_GB2312" w:cs="仿宋_GB2312"/>
          <w:color w:val="000000" w:themeColor="text1"/>
          <w:sz w:val="32"/>
          <w:szCs w:val="32"/>
          <w14:textFill>
            <w14:solidFill>
              <w14:schemeClr w14:val="tx1"/>
            </w14:solidFill>
          </w14:textFill>
        </w:rPr>
        <w:t>。</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2. 支出按功能科目分类的明细情况</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2022</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本部门当年一般公共预算支出1204.83</w:t>
      </w:r>
      <w:r>
        <w:rPr>
          <w:rFonts w:hint="eastAsia" w:ascii="仿宋_GB2312" w:hAnsi="仿宋_GB2312" w:eastAsia="仿宋_GB2312" w:cs="仿宋_GB2312"/>
          <w:color w:val="000000" w:themeColor="text1"/>
          <w:sz w:val="32"/>
          <w:szCs w:val="32"/>
          <w14:textFill>
            <w14:solidFill>
              <w14:schemeClr w14:val="tx1"/>
            </w14:solidFill>
          </w14:textFill>
        </w:rPr>
        <w:t>万元，其中:</w:t>
      </w:r>
    </w:p>
    <w:p>
      <w:pPr>
        <w:pStyle w:val="11"/>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行政运行（2013101）支出716.98</w:t>
      </w:r>
      <w:r>
        <w:rPr>
          <w:rFonts w:hint="eastAsia" w:ascii="仿宋_GB2312" w:hAnsi="仿宋_GB2312" w:eastAsia="仿宋_GB2312" w:cs="仿宋_GB2312"/>
          <w:color w:val="000000" w:themeColor="text1"/>
          <w:sz w:val="32"/>
          <w:szCs w:val="32"/>
          <w14:textFill>
            <w14:solidFill>
              <w14:schemeClr w14:val="tx1"/>
            </w14:solidFill>
          </w14:textFill>
        </w:rPr>
        <w:t>万元，较上年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减少68.06</w:t>
      </w:r>
      <w:r>
        <w:rPr>
          <w:rFonts w:hint="eastAsia" w:ascii="仿宋_GB2312" w:hAnsi="仿宋_GB2312" w:eastAsia="仿宋_GB2312" w:cs="仿宋_GB2312"/>
          <w:color w:val="000000" w:themeColor="text1"/>
          <w:sz w:val="32"/>
          <w:szCs w:val="32"/>
          <w14:textFill>
            <w14:solidFill>
              <w14:schemeClr w14:val="tx1"/>
            </w14:solidFill>
          </w14:textFill>
        </w:rPr>
        <w:t>万元，原因是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压缩支出，人员经费、公用经费减少</w:t>
      </w:r>
      <w:r>
        <w:rPr>
          <w:rFonts w:hint="eastAsia" w:ascii="仿宋_GB2312" w:hAnsi="仿宋_GB2312" w:eastAsia="仿宋_GB2312" w:cs="仿宋_GB2312"/>
          <w:color w:val="000000" w:themeColor="text1"/>
          <w:sz w:val="32"/>
          <w:szCs w:val="32"/>
          <w14:textFill>
            <w14:solidFill>
              <w14:schemeClr w14:val="tx1"/>
            </w14:solidFill>
          </w14:textFill>
        </w:rPr>
        <w:t>。</w:t>
      </w:r>
    </w:p>
    <w:p>
      <w:pPr>
        <w:pStyle w:val="11"/>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一般行政管理事务（2013102）支出76万元，较上年增加31万元，原因是党建业务经费支出增加。</w:t>
      </w:r>
    </w:p>
    <w:p>
      <w:pPr>
        <w:pStyle w:val="11"/>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专项业务（2013105）支出80万元，较上年减少10万元，原因是压缩专项业务经费。</w:t>
      </w:r>
    </w:p>
    <w:p>
      <w:pPr>
        <w:pStyle w:val="11"/>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培训支出（2050803）84万元，较上年增加19万元，原因是党务干部培训经费增加。</w:t>
      </w:r>
    </w:p>
    <w:p>
      <w:pPr>
        <w:pStyle w:val="11"/>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行政事业单位养老保险</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2080505）</w:t>
      </w:r>
      <w:r>
        <w:rPr>
          <w:rFonts w:hint="eastAsia" w:ascii="仿宋_GB2312" w:hAnsi="仿宋_GB2312" w:eastAsia="仿宋_GB2312" w:cs="仿宋_GB2312"/>
          <w:color w:val="000000" w:themeColor="text1"/>
          <w:sz w:val="32"/>
          <w:szCs w:val="32"/>
          <w14:textFill>
            <w14:solidFill>
              <w14:schemeClr w14:val="tx1"/>
            </w14:solidFill>
          </w14:textFill>
        </w:rPr>
        <w:t>缴费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65.43</w:t>
      </w:r>
      <w:r>
        <w:rPr>
          <w:rFonts w:hint="eastAsia" w:ascii="仿宋_GB2312" w:hAnsi="仿宋_GB2312" w:eastAsia="仿宋_GB2312" w:cs="仿宋_GB2312"/>
          <w:color w:val="000000" w:themeColor="text1"/>
          <w:sz w:val="32"/>
          <w:szCs w:val="32"/>
          <w14:textFill>
            <w14:solidFill>
              <w14:schemeClr w14:val="tx1"/>
            </w14:solidFill>
          </w14:textFill>
        </w:rPr>
        <w:t>万元，与上年相比</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增加1.51</w:t>
      </w:r>
      <w:r>
        <w:rPr>
          <w:rFonts w:hint="eastAsia" w:ascii="仿宋_GB2312" w:hAnsi="仿宋_GB2312" w:eastAsia="仿宋_GB2312" w:cs="仿宋_GB2312"/>
          <w:color w:val="000000" w:themeColor="text1"/>
          <w:sz w:val="32"/>
          <w:szCs w:val="32"/>
          <w14:textFill>
            <w14:solidFill>
              <w14:schemeClr w14:val="tx1"/>
            </w14:solidFill>
          </w14:textFill>
        </w:rPr>
        <w:t>万元，原因是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工资调整</w:t>
      </w:r>
      <w:r>
        <w:rPr>
          <w:rFonts w:hint="eastAsia" w:ascii="仿宋_GB2312" w:hAnsi="仿宋_GB2312" w:eastAsia="仿宋_GB2312" w:cs="仿宋_GB2312"/>
          <w:color w:val="000000" w:themeColor="text1"/>
          <w:sz w:val="32"/>
          <w:szCs w:val="32"/>
          <w14:textFill>
            <w14:solidFill>
              <w14:schemeClr w14:val="tx1"/>
            </w14:solidFill>
          </w14:textFill>
        </w:rPr>
        <w:t>。</w:t>
      </w:r>
    </w:p>
    <w:p>
      <w:pPr>
        <w:pStyle w:val="11"/>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机关事业单位职业年金（2080506）缴费32.72万元，较上年增加0.76万元，原因是工资调整。</w:t>
      </w:r>
    </w:p>
    <w:p>
      <w:pPr>
        <w:pStyle w:val="11"/>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其他社会保障就业</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2089999）</w:t>
      </w:r>
      <w:r>
        <w:rPr>
          <w:rFonts w:hint="eastAsia" w:ascii="仿宋_GB2312" w:hAnsi="仿宋_GB2312" w:eastAsia="仿宋_GB2312" w:cs="仿宋_GB2312"/>
          <w:color w:val="000000" w:themeColor="text1"/>
          <w:sz w:val="32"/>
          <w:szCs w:val="32"/>
          <w14:textFill>
            <w14:solidFill>
              <w14:schemeClr w14:val="tx1"/>
            </w14:solidFill>
          </w14:textFill>
        </w:rPr>
        <w:t>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0.71</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与上年持平。</w:t>
      </w:r>
    </w:p>
    <w:p>
      <w:pPr>
        <w:pStyle w:val="11"/>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行政单位医疗（2101101）支出29.7万元，较上年增加12.43万元，原因是本年公务员医疗补助科目单列。</w:t>
      </w:r>
    </w:p>
    <w:p>
      <w:pPr>
        <w:pStyle w:val="11"/>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公务员医疗补助</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2101103）</w:t>
      </w:r>
      <w:r>
        <w:rPr>
          <w:rFonts w:hint="eastAsia" w:ascii="仿宋_GB2312" w:hAnsi="仿宋_GB2312" w:eastAsia="仿宋_GB2312" w:cs="仿宋_GB2312"/>
          <w:color w:val="000000" w:themeColor="text1"/>
          <w:sz w:val="32"/>
          <w:szCs w:val="32"/>
          <w14:textFill>
            <w14:solidFill>
              <w14:schemeClr w14:val="tx1"/>
            </w14:solidFill>
          </w14:textFill>
        </w:rPr>
        <w:t>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9.77</w:t>
      </w:r>
      <w:r>
        <w:rPr>
          <w:rFonts w:hint="eastAsia" w:ascii="仿宋_GB2312" w:hAnsi="仿宋_GB2312" w:eastAsia="仿宋_GB2312" w:cs="仿宋_GB2312"/>
          <w:color w:val="000000" w:themeColor="text1"/>
          <w:sz w:val="32"/>
          <w:szCs w:val="32"/>
          <w14:textFill>
            <w14:solidFill>
              <w14:schemeClr w14:val="tx1"/>
            </w14:solidFill>
          </w14:textFill>
        </w:rPr>
        <w:t>万元，较上年增加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9.77</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原因是本年公务员医疗补助科目单列。</w:t>
      </w:r>
    </w:p>
    <w:p>
      <w:pPr>
        <w:pStyle w:val="11"/>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住房改革</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2210201、2210203）</w:t>
      </w:r>
      <w:r>
        <w:rPr>
          <w:rFonts w:hint="eastAsia" w:ascii="仿宋_GB2312" w:hAnsi="仿宋_GB2312" w:eastAsia="仿宋_GB2312" w:cs="仿宋_GB2312"/>
          <w:color w:val="000000" w:themeColor="text1"/>
          <w:sz w:val="32"/>
          <w:szCs w:val="32"/>
          <w14:textFill>
            <w14:solidFill>
              <w14:schemeClr w14:val="tx1"/>
            </w14:solidFill>
          </w14:textFill>
        </w:rPr>
        <w:t xml:space="preserve">支出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109.52</w:t>
      </w:r>
      <w:r>
        <w:rPr>
          <w:rFonts w:hint="eastAsia" w:ascii="仿宋_GB2312" w:hAnsi="仿宋_GB2312" w:eastAsia="仿宋_GB2312" w:cs="仿宋_GB2312"/>
          <w:color w:val="000000" w:themeColor="text1"/>
          <w:sz w:val="32"/>
          <w:szCs w:val="32"/>
          <w14:textFill>
            <w14:solidFill>
              <w14:schemeClr w14:val="tx1"/>
            </w14:solidFill>
          </w14:textFill>
        </w:rPr>
        <w:t>万元，较上年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减少21.34</w:t>
      </w:r>
      <w:r>
        <w:rPr>
          <w:rFonts w:hint="eastAsia" w:ascii="仿宋_GB2312" w:hAnsi="仿宋_GB2312" w:eastAsia="仿宋_GB2312" w:cs="仿宋_GB2312"/>
          <w:color w:val="000000" w:themeColor="text1"/>
          <w:sz w:val="32"/>
          <w:szCs w:val="32"/>
          <w14:textFill>
            <w14:solidFill>
              <w14:schemeClr w14:val="tx1"/>
            </w14:solidFill>
          </w14:textFill>
        </w:rPr>
        <w:t>万元，原因是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部分人员全部支取完成</w:t>
      </w:r>
      <w:r>
        <w:rPr>
          <w:rFonts w:hint="eastAsia" w:ascii="仿宋_GB2312" w:hAnsi="仿宋_GB2312" w:eastAsia="仿宋_GB2312" w:cs="仿宋_GB2312"/>
          <w:color w:val="000000" w:themeColor="text1"/>
          <w:sz w:val="32"/>
          <w:szCs w:val="32"/>
          <w14:textFill>
            <w14:solidFill>
              <w14:schemeClr w14:val="tx1"/>
            </w14:solidFill>
          </w14:textFill>
        </w:rPr>
        <w:t>。</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3.支出按经费科目分类的明细情况</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2022</w:t>
      </w:r>
      <w:r>
        <w:rPr>
          <w:rFonts w:hint="eastAsia" w:ascii="仿宋_GB2312" w:hAnsi="仿宋_GB2312" w:eastAsia="仿宋_GB2312" w:cs="仿宋_GB2312"/>
          <w:color w:val="000000" w:themeColor="text1"/>
          <w:sz w:val="32"/>
          <w:szCs w:val="32"/>
          <w14:textFill>
            <w14:solidFill>
              <w14:schemeClr w14:val="tx1"/>
            </w14:solidFill>
          </w14:textFill>
        </w:rPr>
        <w:t>年本部门</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当年</w:t>
      </w:r>
      <w:r>
        <w:rPr>
          <w:rFonts w:hint="eastAsia" w:ascii="仿宋_GB2312" w:hAnsi="仿宋_GB2312" w:eastAsia="仿宋_GB2312" w:cs="仿宋_GB2312"/>
          <w:color w:val="000000" w:themeColor="text1"/>
          <w:sz w:val="32"/>
          <w:szCs w:val="32"/>
          <w14:textFill>
            <w14:solidFill>
              <w14:schemeClr w14:val="tx1"/>
            </w14:solidFill>
          </w14:textFill>
        </w:rPr>
        <w:t>一般公共预算支出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1204.83万</w:t>
      </w:r>
      <w:r>
        <w:rPr>
          <w:rFonts w:hint="eastAsia" w:ascii="仿宋_GB2312" w:hAnsi="仿宋_GB2312" w:eastAsia="仿宋_GB2312" w:cs="仿宋_GB2312"/>
          <w:color w:val="000000" w:themeColor="text1"/>
          <w:sz w:val="32"/>
          <w:szCs w:val="32"/>
          <w14:textFill>
            <w14:solidFill>
              <w14:schemeClr w14:val="tx1"/>
            </w14:solidFill>
          </w14:textFill>
        </w:rPr>
        <w:t>元，其中：</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工资福利支出（301）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811.37</w:t>
      </w:r>
      <w:r>
        <w:rPr>
          <w:rFonts w:hint="eastAsia" w:ascii="仿宋_GB2312" w:hAnsi="仿宋_GB2312" w:eastAsia="仿宋_GB2312" w:cs="仿宋_GB2312"/>
          <w:color w:val="000000" w:themeColor="text1"/>
          <w:sz w:val="32"/>
          <w:szCs w:val="32"/>
          <w14:textFill>
            <w14:solidFill>
              <w14:schemeClr w14:val="tx1"/>
            </w14:solidFill>
          </w14:textFill>
        </w:rPr>
        <w:t>万元，较上年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减少96.86</w:t>
      </w:r>
      <w:r>
        <w:rPr>
          <w:rFonts w:hint="eastAsia" w:ascii="仿宋_GB2312" w:hAnsi="仿宋_GB2312" w:eastAsia="仿宋_GB2312" w:cs="仿宋_GB2312"/>
          <w:color w:val="000000" w:themeColor="text1"/>
          <w:sz w:val="32"/>
          <w:szCs w:val="32"/>
          <w14:textFill>
            <w14:solidFill>
              <w14:schemeClr w14:val="tx1"/>
            </w14:solidFill>
          </w14:textFill>
        </w:rPr>
        <w:t>万元，原因是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人员经费压减</w:t>
      </w:r>
      <w:r>
        <w:rPr>
          <w:rFonts w:hint="eastAsia" w:ascii="仿宋_GB2312" w:hAnsi="仿宋_GB2312" w:eastAsia="仿宋_GB2312" w:cs="仿宋_GB2312"/>
          <w:color w:val="000000" w:themeColor="text1"/>
          <w:sz w:val="32"/>
          <w:szCs w:val="32"/>
          <w14:textFill>
            <w14:solidFill>
              <w14:schemeClr w14:val="tx1"/>
            </w14:solidFill>
          </w14:textFill>
        </w:rPr>
        <w:t>；</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商品服务支出（302）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351.02</w:t>
      </w:r>
      <w:r>
        <w:rPr>
          <w:rFonts w:hint="eastAsia" w:ascii="仿宋_GB2312" w:hAnsi="仿宋_GB2312" w:eastAsia="仿宋_GB2312" w:cs="仿宋_GB2312"/>
          <w:color w:val="000000" w:themeColor="text1"/>
          <w:sz w:val="32"/>
          <w:szCs w:val="32"/>
          <w14:textFill>
            <w14:solidFill>
              <w14:schemeClr w14:val="tx1"/>
            </w14:solidFill>
          </w14:textFill>
        </w:rPr>
        <w:t>万元，较上年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增加49.74</w:t>
      </w:r>
      <w:r>
        <w:rPr>
          <w:rFonts w:hint="eastAsia" w:ascii="仿宋_GB2312" w:hAnsi="仿宋_GB2312" w:eastAsia="仿宋_GB2312" w:cs="仿宋_GB2312"/>
          <w:color w:val="000000" w:themeColor="text1"/>
          <w:sz w:val="32"/>
          <w:szCs w:val="32"/>
          <w14:textFill>
            <w14:solidFill>
              <w14:schemeClr w14:val="tx1"/>
            </w14:solidFill>
          </w14:textFill>
        </w:rPr>
        <w:t>万元，原因是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党务干部培训业务经费增加</w:t>
      </w:r>
      <w:r>
        <w:rPr>
          <w:rFonts w:hint="eastAsia" w:ascii="仿宋_GB2312" w:hAnsi="仿宋_GB2312" w:eastAsia="仿宋_GB2312" w:cs="仿宋_GB2312"/>
          <w:color w:val="000000" w:themeColor="text1"/>
          <w:sz w:val="32"/>
          <w:szCs w:val="32"/>
          <w14:textFill>
            <w14:solidFill>
              <w14:schemeClr w14:val="tx1"/>
            </w14:solidFill>
          </w14:textFill>
        </w:rPr>
        <w:t>；</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对个</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人</w:t>
      </w:r>
      <w:r>
        <w:rPr>
          <w:rFonts w:hint="eastAsia" w:ascii="仿宋_GB2312" w:hAnsi="仿宋_GB2312" w:eastAsia="仿宋_GB2312" w:cs="仿宋_GB2312"/>
          <w:color w:val="000000" w:themeColor="text1"/>
          <w:sz w:val="32"/>
          <w:szCs w:val="32"/>
          <w14:textFill>
            <w14:solidFill>
              <w14:schemeClr w14:val="tx1"/>
            </w14:solidFill>
          </w14:textFill>
        </w:rPr>
        <w:t>和家庭的补助支出（303）</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42.44</w:t>
      </w:r>
      <w:r>
        <w:rPr>
          <w:rFonts w:hint="eastAsia" w:ascii="仿宋_GB2312" w:hAnsi="仿宋_GB2312" w:eastAsia="仿宋_GB2312" w:cs="仿宋_GB2312"/>
          <w:color w:val="000000" w:themeColor="text1"/>
          <w:sz w:val="32"/>
          <w:szCs w:val="32"/>
          <w14:textFill>
            <w14:solidFill>
              <w14:schemeClr w14:val="tx1"/>
            </w14:solidFill>
          </w14:textFill>
        </w:rPr>
        <w:t>万元，较上年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增加22.2</w:t>
      </w:r>
      <w:r>
        <w:rPr>
          <w:rFonts w:hint="eastAsia" w:ascii="仿宋_GB2312" w:hAnsi="仿宋_GB2312" w:eastAsia="仿宋_GB2312" w:cs="仿宋_GB2312"/>
          <w:color w:val="000000" w:themeColor="text1"/>
          <w:sz w:val="32"/>
          <w:szCs w:val="32"/>
          <w14:textFill>
            <w14:solidFill>
              <w14:schemeClr w14:val="tx1"/>
            </w14:solidFill>
          </w14:textFill>
        </w:rPr>
        <w:t>万元，原因是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取暖费、降温费科目列入对个人和家庭的补助支出，总额与上年持平</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lang w:eastAsia="zh-CN"/>
          <w14:textFill>
            <w14:solidFill>
              <w14:schemeClr w14:val="tx1"/>
            </w14:solidFill>
          </w14:textFill>
        </w:rPr>
        <w:t>2022</w:t>
      </w:r>
      <w:r>
        <w:rPr>
          <w:rFonts w:hint="eastAsia" w:ascii="仿宋_GB2312" w:hAnsi="仿宋_GB2312" w:eastAsia="仿宋_GB2312" w:cs="仿宋_GB2312"/>
          <w:color w:val="000000" w:themeColor="text1"/>
          <w:sz w:val="32"/>
          <w:szCs w:val="32"/>
          <w14:textFill>
            <w14:solidFill>
              <w14:schemeClr w14:val="tx1"/>
            </w14:solidFill>
          </w14:textFill>
        </w:rPr>
        <w:t>年本部门一般公共预算支出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1204.83</w:t>
      </w:r>
      <w:r>
        <w:rPr>
          <w:rFonts w:hint="eastAsia" w:ascii="仿宋_GB2312" w:hAnsi="仿宋_GB2312" w:eastAsia="仿宋_GB2312" w:cs="仿宋_GB2312"/>
          <w:color w:val="000000" w:themeColor="text1"/>
          <w:sz w:val="32"/>
          <w:szCs w:val="32"/>
          <w14:textFill>
            <w14:solidFill>
              <w14:schemeClr w14:val="tx1"/>
            </w14:solidFill>
          </w14:textFill>
        </w:rPr>
        <w:t>万元，其中：</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机关工资福利支出（501）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811.37</w:t>
      </w:r>
      <w:r>
        <w:rPr>
          <w:rFonts w:hint="eastAsia" w:ascii="仿宋_GB2312" w:hAnsi="仿宋_GB2312" w:eastAsia="仿宋_GB2312" w:cs="仿宋_GB2312"/>
          <w:color w:val="000000" w:themeColor="text1"/>
          <w:sz w:val="32"/>
          <w:szCs w:val="32"/>
          <w14:textFill>
            <w14:solidFill>
              <w14:schemeClr w14:val="tx1"/>
            </w14:solidFill>
          </w14:textFill>
        </w:rPr>
        <w:t>万元，较上年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减少96.86</w:t>
      </w:r>
      <w:r>
        <w:rPr>
          <w:rFonts w:hint="eastAsia" w:ascii="仿宋_GB2312" w:hAnsi="仿宋_GB2312" w:eastAsia="仿宋_GB2312" w:cs="仿宋_GB2312"/>
          <w:color w:val="000000" w:themeColor="text1"/>
          <w:sz w:val="32"/>
          <w:szCs w:val="32"/>
          <w14:textFill>
            <w14:solidFill>
              <w14:schemeClr w14:val="tx1"/>
            </w14:solidFill>
          </w14:textFill>
        </w:rPr>
        <w:t>万元，原因是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人员经费压减</w:t>
      </w:r>
      <w:r>
        <w:rPr>
          <w:rFonts w:hint="eastAsia" w:ascii="仿宋_GB2312" w:hAnsi="仿宋_GB2312" w:eastAsia="仿宋_GB2312" w:cs="仿宋_GB2312"/>
          <w:color w:val="000000" w:themeColor="text1"/>
          <w:sz w:val="32"/>
          <w:szCs w:val="32"/>
          <w14:textFill>
            <w14:solidFill>
              <w14:schemeClr w14:val="tx1"/>
            </w14:solidFill>
          </w14:textFill>
        </w:rPr>
        <w:t>；</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机关商品服务支出（502）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351.02</w:t>
      </w:r>
      <w:r>
        <w:rPr>
          <w:rFonts w:hint="eastAsia" w:ascii="仿宋_GB2312" w:hAnsi="仿宋_GB2312" w:eastAsia="仿宋_GB2312" w:cs="仿宋_GB2312"/>
          <w:color w:val="000000" w:themeColor="text1"/>
          <w:sz w:val="32"/>
          <w:szCs w:val="32"/>
          <w14:textFill>
            <w14:solidFill>
              <w14:schemeClr w14:val="tx1"/>
            </w14:solidFill>
          </w14:textFill>
        </w:rPr>
        <w:t>万元，较上年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增加49.74</w:t>
      </w:r>
      <w:r>
        <w:rPr>
          <w:rFonts w:hint="eastAsia" w:ascii="仿宋_GB2312" w:hAnsi="仿宋_GB2312" w:eastAsia="仿宋_GB2312" w:cs="仿宋_GB2312"/>
          <w:color w:val="000000" w:themeColor="text1"/>
          <w:sz w:val="32"/>
          <w:szCs w:val="32"/>
          <w14:textFill>
            <w14:solidFill>
              <w14:schemeClr w14:val="tx1"/>
            </w14:solidFill>
          </w14:textFill>
        </w:rPr>
        <w:t>万元，原因是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党务干部培训业务经费增加</w:t>
      </w:r>
      <w:r>
        <w:rPr>
          <w:rFonts w:hint="eastAsia" w:ascii="仿宋_GB2312" w:hAnsi="仿宋_GB2312" w:eastAsia="仿宋_GB2312" w:cs="仿宋_GB2312"/>
          <w:color w:val="000000" w:themeColor="text1"/>
          <w:sz w:val="32"/>
          <w:szCs w:val="32"/>
          <w14:textFill>
            <w14:solidFill>
              <w14:schemeClr w14:val="tx1"/>
            </w14:solidFill>
          </w14:textFill>
        </w:rPr>
        <w:t>；</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对个</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人</w:t>
      </w:r>
      <w:r>
        <w:rPr>
          <w:rFonts w:hint="eastAsia" w:ascii="仿宋_GB2312" w:hAnsi="仿宋_GB2312" w:eastAsia="仿宋_GB2312" w:cs="仿宋_GB2312"/>
          <w:color w:val="000000" w:themeColor="text1"/>
          <w:sz w:val="32"/>
          <w:szCs w:val="32"/>
          <w14:textFill>
            <w14:solidFill>
              <w14:schemeClr w14:val="tx1"/>
            </w14:solidFill>
          </w14:textFill>
        </w:rPr>
        <w:t>和家庭的补助支出</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509）42.44</w:t>
      </w:r>
      <w:r>
        <w:rPr>
          <w:rFonts w:hint="eastAsia" w:ascii="仿宋_GB2312" w:hAnsi="仿宋_GB2312" w:eastAsia="仿宋_GB2312" w:cs="仿宋_GB2312"/>
          <w:color w:val="000000" w:themeColor="text1"/>
          <w:sz w:val="32"/>
          <w:szCs w:val="32"/>
          <w14:textFill>
            <w14:solidFill>
              <w14:schemeClr w14:val="tx1"/>
            </w14:solidFill>
          </w14:textFill>
        </w:rPr>
        <w:t>万元，较上年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增加22.2</w:t>
      </w:r>
      <w:r>
        <w:rPr>
          <w:rFonts w:hint="eastAsia" w:ascii="仿宋_GB2312" w:hAnsi="仿宋_GB2312" w:eastAsia="仿宋_GB2312" w:cs="仿宋_GB2312"/>
          <w:color w:val="000000" w:themeColor="text1"/>
          <w:sz w:val="32"/>
          <w:szCs w:val="32"/>
          <w14:textFill>
            <w14:solidFill>
              <w14:schemeClr w14:val="tx1"/>
            </w14:solidFill>
          </w14:textFill>
        </w:rPr>
        <w:t>万元，原因是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取暖费、降温费科目列入对个人和家庭的补助支出，总额与上年持平</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left="640" w:leftChars="305" w:firstLine="0" w:firstLineChars="0"/>
        <w:jc w:val="both"/>
        <w:textAlignment w:val="auto"/>
        <w:rPr>
          <w:rFonts w:hint="eastAsia" w:ascii="仿宋_GB2312" w:hAnsi="仿宋_GB2312" w:eastAsia="仿宋_GB2312" w:cs="仿宋_GB2312"/>
          <w:b/>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（四）政府性基金预算支出情况</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 xml:space="preserve">本部门无当年政府性基金预算收支，并已公开空表。 </w:t>
      </w:r>
    </w:p>
    <w:p>
      <w:pPr>
        <w:pStyle w:val="11"/>
        <w:keepNext w:val="0"/>
        <w:keepLines w:val="0"/>
        <w:pageBreakBefore w:val="0"/>
        <w:widowControl/>
        <w:numPr>
          <w:ilvl w:val="0"/>
          <w:numId w:val="4"/>
        </w:numPr>
        <w:kinsoku/>
        <w:wordWrap/>
        <w:overflowPunct/>
        <w:topLinePunct w:val="0"/>
        <w:autoSpaceDE/>
        <w:autoSpaceDN/>
        <w:bidi w:val="0"/>
        <w:adjustRightInd/>
        <w:snapToGrid/>
        <w:spacing w:beforeAutospacing="0" w:afterAutospacing="0" w:line="560" w:lineRule="exact"/>
        <w:ind w:left="638" w:leftChars="304" w:firstLine="0" w:firstLineChars="0"/>
        <w:jc w:val="left"/>
        <w:textAlignment w:val="auto"/>
        <w:rPr>
          <w:rFonts w:hint="eastAsia" w:ascii="仿宋_GB2312" w:hAnsi="仿宋_GB2312" w:eastAsia="仿宋_GB2312" w:cs="仿宋_GB2312"/>
          <w:b/>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国有资本经营预算拨款收支情况</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本部门无当年国有资本经营预算拨款收支，并在财政拨款收支总体情况表中列示。</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center"/>
        <w:textAlignment w:val="auto"/>
        <w:rPr>
          <w:rFonts w:hint="eastAsia" w:ascii="黑体" w:hAnsi="黑体" w:eastAsia="黑体" w:cs="黑体"/>
          <w:b w:val="0"/>
          <w:bCs w:val="0"/>
          <w:color w:val="000000" w:themeColor="text1"/>
          <w:sz w:val="32"/>
          <w:szCs w:val="32"/>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center"/>
        <w:textAlignment w:val="auto"/>
        <w:rPr>
          <w:rFonts w:hint="eastAsia" w:ascii="黑体" w:hAnsi="黑体" w:eastAsia="黑体" w:cs="黑体"/>
          <w:b w:val="0"/>
          <w:bCs w:val="0"/>
          <w:color w:val="000000" w:themeColor="text1"/>
          <w:sz w:val="36"/>
          <w:szCs w:val="36"/>
          <w:shd w:val="clear" w:color="auto" w:fill="FFFFFF"/>
          <w:lang w:val="en-US" w:eastAsia="zh-CN"/>
          <w14:textFill>
            <w14:solidFill>
              <w14:schemeClr w14:val="tx1"/>
            </w14:solidFill>
          </w14:textFill>
        </w:rPr>
      </w:pPr>
      <w:r>
        <w:rPr>
          <w:rFonts w:hint="eastAsia" w:ascii="黑体" w:hAnsi="黑体" w:eastAsia="黑体" w:cs="黑体"/>
          <w:b w:val="0"/>
          <w:bCs w:val="0"/>
          <w:color w:val="000000" w:themeColor="text1"/>
          <w:sz w:val="36"/>
          <w:szCs w:val="36"/>
          <w:shd w:val="clear" w:color="auto" w:fill="FFFFFF"/>
          <w:lang w:val="en-US" w:eastAsia="zh-CN"/>
          <w14:textFill>
            <w14:solidFill>
              <w14:schemeClr w14:val="tx1"/>
            </w14:solidFill>
          </w14:textFill>
        </w:rPr>
        <w:t>第三部分 其他说明情况</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left="638" w:leftChars="304" w:firstLine="0" w:firstLineChars="0"/>
        <w:jc w:val="both"/>
        <w:textAlignment w:val="auto"/>
        <w:rPr>
          <w:rFonts w:hint="default"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六</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部门预算</w:t>
      </w:r>
      <w:r>
        <w:rPr>
          <w:rFonts w:hint="eastAsia" w:ascii="仿宋_GB2312" w:hAnsi="仿宋_GB2312" w:eastAsia="仿宋_GB2312" w:cs="仿宋_GB2312"/>
          <w:b/>
          <w:bCs/>
          <w:color w:val="000000" w:themeColor="text1"/>
          <w:sz w:val="32"/>
          <w:szCs w:val="32"/>
          <w14:textFill>
            <w14:solidFill>
              <w14:schemeClr w14:val="tx1"/>
            </w14:solidFill>
          </w14:textFill>
        </w:rPr>
        <w:t>“三公”经费等预算情况</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说明</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2022</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年</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本部门当年一般公共预算</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“三公”经费预算</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支出86.5</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较上年增长21.2万元</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。其中：因公出国（境）费0万元，</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与上年持平（0%）；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公务接待费0.3万元，</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与上年持平（0%）；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公务用车运行维护费</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2.5</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较上年持平（0%）</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公务用车购置费 0</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万</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元</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与上年持平（0%）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会议费支出0万元，与上年持平（0%）；培训费支出84万元，较上年增长19万元（29.23%），原因是培训任务增加，培训人数增加。</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本部门无2021年结转的“三公”经费支出。</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left="638" w:leftChars="304" w:firstLine="0" w:firstLineChars="0"/>
        <w:jc w:val="both"/>
        <w:textAlignment w:val="auto"/>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七、部门国有资产占有使用及资产购置情况说明</w:t>
      </w:r>
    </w:p>
    <w:p>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截止2021年底，本部门所属预算单位共有车辆1辆，单价20万元以上的设备0台（套）。2022年当年部门预算安排购置车辆0辆；安排购置单价20万元以上的设备0台（套）。</w:t>
      </w:r>
    </w:p>
    <w:p>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ind w:leftChars="200"/>
        <w:jc w:val="both"/>
        <w:textAlignment w:val="auto"/>
        <w:rPr>
          <w:rFonts w:hint="default"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本部门无2021年结转的财政拨款支出资产购置。 </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left="638" w:leftChars="304" w:firstLine="0" w:firstLineChars="0"/>
        <w:jc w:val="both"/>
        <w:textAlignment w:val="auto"/>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八、政府采购情况说明</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2022年当年本部门政府采购预算共74万元，其中政府采购货物类预算0万元、政府采购服务类预算74万元、政府采购工程类预算0万元（详见公开报表中的政府采购表）</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本部门无2021年结转的政府采购资金支出。</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left="638" w:leftChars="304" w:firstLine="0" w:firstLineChars="0"/>
        <w:jc w:val="both"/>
        <w:textAlignment w:val="auto"/>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九、部门预算绩效目标说明</w:t>
      </w:r>
    </w:p>
    <w:p>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2022年本部门绩效目标管理全覆盖，涉及当年一般公共预算当年一般公共预算当年拨款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1204.83</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万元，当年政府性基金预算当年拨款0万元，当年国有资本经营预算拨款0万元（详见公开报表中的绩效目标表）。</w:t>
      </w:r>
    </w:p>
    <w:p>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本部门无2021年结转的财政拨款支出涉及的绩效目标管理。</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left="638" w:leftChars="304" w:firstLine="0" w:firstLineChars="0"/>
        <w:jc w:val="both"/>
        <w:textAlignment w:val="auto"/>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十、机关运行经费安排说明</w:t>
      </w:r>
    </w:p>
    <w:p>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本部门</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当年</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机关运行经费预算安排</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111.02</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w:t>
      </w:r>
      <w:r>
        <w:rPr>
          <w:rFonts w:hint="eastAsia" w:ascii="仿宋_GB2312" w:hAnsi="仿宋_GB2312" w:eastAsia="仿宋_GB2312" w:cs="仿宋_GB2312"/>
          <w:color w:val="000000" w:themeColor="text1"/>
          <w:sz w:val="32"/>
          <w:szCs w:val="32"/>
          <w14:textFill>
            <w14:solidFill>
              <w14:schemeClr w14:val="tx1"/>
            </w14:solidFill>
          </w14:textFill>
        </w:rPr>
        <w:t>较上年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增加9.74</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主要</w:t>
      </w:r>
      <w:r>
        <w:rPr>
          <w:rFonts w:hint="eastAsia" w:ascii="仿宋_GB2312" w:hAnsi="仿宋_GB2312" w:eastAsia="仿宋_GB2312" w:cs="仿宋_GB2312"/>
          <w:color w:val="000000" w:themeColor="text1"/>
          <w:sz w:val="32"/>
          <w:szCs w:val="32"/>
          <w14:textFill>
            <w14:solidFill>
              <w14:schemeClr w14:val="tx1"/>
            </w14:solidFill>
          </w14:textFill>
        </w:rPr>
        <w:t>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市财政机关运行经费增加</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本部门无2021年结转的财政拨款机关运行费支出。</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left="638" w:leftChars="304" w:firstLine="0" w:firstLineChars="0"/>
        <w:jc w:val="both"/>
        <w:textAlignment w:val="auto"/>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十一、专业名词解释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1.机关运行经费：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指各部门的公用经费，</w:t>
      </w:r>
      <w:r>
        <w:rPr>
          <w:rFonts w:hint="eastAsia" w:ascii="仿宋_GB2312" w:hAnsi="宋体" w:eastAsia="仿宋_GB2312" w:cs="宋体"/>
          <w:color w:val="000000" w:themeColor="text1"/>
          <w:kern w:val="0"/>
          <w:sz w:val="32"/>
          <w:szCs w:val="32"/>
          <w14:textFill>
            <w14:solidFill>
              <w14:schemeClr w14:val="tx1"/>
            </w14:solidFill>
          </w14:textFill>
        </w:rPr>
        <w:t>包括办公及印刷费、邮电费、差旅费、会议费、福利费、日常维修费、专用材料及</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一般设备购置费、</w:t>
      </w:r>
      <w:r>
        <w:rPr>
          <w:rFonts w:hint="eastAsia" w:ascii="仿宋_GB2312" w:hAnsi="宋体" w:eastAsia="仿宋_GB2312" w:cs="宋体"/>
          <w:color w:val="000000" w:themeColor="text1"/>
          <w:kern w:val="0"/>
          <w:sz w:val="32"/>
          <w:szCs w:val="32"/>
          <w14:textFill>
            <w14:solidFill>
              <w14:schemeClr w14:val="tx1"/>
            </w14:solidFill>
          </w14:textFill>
        </w:rPr>
        <w:t>办公用房水电费、办公用房取暖费、办公用房物业管理费、公务用车运行维护费以及其他费用。</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2.专项收入：是指根据特定需要由国务院批准或者经国务院授权由财政部批准，设置、征集和纳入预算管理、有专项用途的收入。</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 xml:space="preserve">3.编制人数：是指经政府编制管理部门核定的人员编数。 </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4.基本支出：是指为保障机关正常运转、完成日常工作任务而发生的用一般公共预算财政拨款安排的各项支出。包括人员经费、商品和服务支出，其中人员经费包括工资福利支出、对个人和家庭的补助。</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5.工资福利支出：指我委开支的在职职工的各类劳动报酬,以及为上述人员缴纳的各类社会保险费等。</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对个人和家庭的补助支出：指用于对个人和家庭补助支出，主要包括：单位发放的离退休经费、生活补助、住房公积金等。</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 xml:space="preserve">6.项目支出：是指单位为完成特定工作任务或事业发展目标，在基本支出之外发生的用一般公共预算财政拨款安 排的各项支出。 </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7.商品和服务支出：指我委在日常工作中购买商品和服务的支出，主要包括：办公费、水电费、交通费、差旅费、会议费、培训费等，不包括项目支出中购买商品和服务的支出。</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 xml:space="preserve">8.“三公”经费：是指因公出国（境）费、公务接待费、公务用车购置及运行维护费。 </w:t>
      </w: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center"/>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黑体" w:hAnsi="黑体" w:eastAsia="黑体" w:cs="黑体"/>
          <w:b w:val="0"/>
          <w:bCs w:val="0"/>
          <w:color w:val="000000" w:themeColor="text1"/>
          <w:sz w:val="36"/>
          <w:szCs w:val="36"/>
          <w:shd w:val="clear" w:color="auto" w:fill="FFFFFF"/>
          <w:lang w:val="en-US" w:eastAsia="zh-CN"/>
          <w14:textFill>
            <w14:solidFill>
              <w14:schemeClr w14:val="tx1"/>
            </w14:solidFill>
          </w14:textFill>
        </w:rPr>
        <w:t>第四部分 公开报表</w:t>
      </w:r>
    </w:p>
    <w:tbl>
      <w:tblPr>
        <w:tblW w:w="146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815"/>
        <w:gridCol w:w="8608"/>
        <w:gridCol w:w="1119"/>
        <w:gridCol w:w="2866"/>
        <w:gridCol w:w="12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0" w:hRule="atLeast"/>
        </w:trPr>
        <w:tc>
          <w:tcPr>
            <w:tcW w:w="14670" w:type="dxa"/>
            <w:gridSpan w:val="5"/>
            <w:tcBorders>
              <w:top w:val="nil"/>
              <w:left w:val="nil"/>
              <w:bottom w:val="nil"/>
              <w:right w:val="nil"/>
            </w:tcBorders>
            <w:shd w:val="clear"/>
            <w:noWrap/>
            <w:vAlign w:val="bottom"/>
          </w:tcPr>
          <w:p>
            <w:pP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60" w:hRule="atLeast"/>
        </w:trPr>
        <w:tc>
          <w:tcPr>
            <w:tcW w:w="14670" w:type="dxa"/>
            <w:gridSpan w:val="5"/>
            <w:tcBorders>
              <w:top w:val="nil"/>
              <w:left w:val="nil"/>
              <w:bottom w:val="nil"/>
              <w:right w:val="nil"/>
            </w:tcBorders>
            <w:shd w:val="clear"/>
            <w:noWrap/>
            <w:vAlign w:val="center"/>
          </w:tcPr>
          <w:p>
            <w:pPr>
              <w:keepNext w:val="0"/>
              <w:keepLines w:val="0"/>
              <w:widowControl/>
              <w:suppressLineNumbers w:val="0"/>
              <w:jc w:val="center"/>
              <w:textAlignment w:val="center"/>
              <w:rPr>
                <w:rFonts w:ascii="方正小标宋_GBK" w:hAnsi="方正小标宋_GBK" w:eastAsia="方正小标宋_GBK" w:cs="方正小标宋_GBK"/>
                <w:i w:val="0"/>
                <w:iCs w:val="0"/>
                <w:color w:val="000000"/>
                <w:sz w:val="52"/>
                <w:szCs w:val="52"/>
                <w:u w:val="none"/>
              </w:rPr>
            </w:pPr>
            <w:r>
              <w:rPr>
                <w:rFonts w:hint="eastAsia" w:ascii="方正小标宋_GBK" w:hAnsi="方正小标宋_GBK" w:eastAsia="方正小标宋_GBK" w:cs="方正小标宋_GBK"/>
                <w:i w:val="0"/>
                <w:iCs w:val="0"/>
                <w:color w:val="000000"/>
                <w:kern w:val="0"/>
                <w:sz w:val="52"/>
                <w:szCs w:val="52"/>
                <w:u w:val="none"/>
                <w:bdr w:val="none" w:color="auto" w:sz="0" w:space="0"/>
                <w:lang w:val="en-US" w:eastAsia="zh-CN" w:bidi="ar"/>
              </w:rPr>
              <w:t>2022年部门综合预算公开报表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75" w:hRule="atLeast"/>
        </w:trPr>
        <w:tc>
          <w:tcPr>
            <w:tcW w:w="14670" w:type="dxa"/>
            <w:gridSpan w:val="5"/>
            <w:tcBorders>
              <w:top w:val="nil"/>
              <w:left w:val="nil"/>
              <w:bottom w:val="nil"/>
              <w:right w:val="nil"/>
            </w:tcBorders>
            <w:shd w:val="clear"/>
            <w:noWrap/>
            <w:vAlign w:val="center"/>
          </w:tcPr>
          <w:p>
            <w:pPr>
              <w:jc w:val="center"/>
              <w:rPr>
                <w:rFonts w:hint="eastAsia" w:ascii="宋体" w:hAnsi="宋体" w:eastAsia="宋体" w:cs="宋体"/>
                <w:b/>
                <w:bCs/>
                <w:i w:val="0"/>
                <w:iCs w:val="0"/>
                <w:color w:val="000000"/>
                <w:sz w:val="40"/>
                <w:szCs w:val="4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635" w:hRule="atLeast"/>
        </w:trPr>
        <w:tc>
          <w:tcPr>
            <w:tcW w:w="14670" w:type="dxa"/>
            <w:gridSpan w:val="5"/>
            <w:tcBorders>
              <w:top w:val="nil"/>
              <w:left w:val="nil"/>
              <w:bottom w:val="nil"/>
              <w:right w:val="nil"/>
            </w:tcBorders>
            <w:shd w:val="clear"/>
            <w:noWrap/>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bdr w:val="none" w:color="auto" w:sz="0" w:space="0"/>
                <w:lang w:val="en-US" w:eastAsia="zh-CN" w:bidi="ar"/>
              </w:rPr>
              <w:t xml:space="preserve">                    部门名称：中共西安市直属机关工作委员会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20" w:hRule="atLeast"/>
        </w:trPr>
        <w:tc>
          <w:tcPr>
            <w:tcW w:w="14670" w:type="dxa"/>
            <w:gridSpan w:val="5"/>
            <w:tcBorders>
              <w:top w:val="nil"/>
              <w:left w:val="nil"/>
              <w:bottom w:val="nil"/>
              <w:right w:val="nil"/>
            </w:tcBorders>
            <w:shd w:val="clear"/>
            <w:noWrap/>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bdr w:val="none" w:color="auto" w:sz="0" w:space="0"/>
                <w:lang w:val="en-US" w:eastAsia="zh-CN" w:bidi="ar"/>
              </w:rPr>
              <w:t xml:space="preserve">                    保密审查情况：已审查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40" w:hRule="atLeast"/>
        </w:trPr>
        <w:tc>
          <w:tcPr>
            <w:tcW w:w="14670" w:type="dxa"/>
            <w:gridSpan w:val="5"/>
            <w:tcBorders>
              <w:top w:val="nil"/>
              <w:left w:val="nil"/>
              <w:bottom w:val="nil"/>
              <w:right w:val="nil"/>
            </w:tcBorders>
            <w:shd w:val="clear"/>
            <w:noWrap/>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bdr w:val="none" w:color="auto" w:sz="0" w:space="0"/>
                <w:lang w:val="en-US" w:eastAsia="zh-CN" w:bidi="ar"/>
              </w:rPr>
              <w:t xml:space="preserve">                    部门主要负责人审签情况：已审签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trPr>
        <w:tc>
          <w:tcPr>
            <w:tcW w:w="14670" w:type="dxa"/>
            <w:gridSpan w:val="5"/>
            <w:tcBorders>
              <w:top w:val="nil"/>
              <w:left w:val="nil"/>
              <w:bottom w:val="nil"/>
              <w:right w:val="nil"/>
            </w:tcBorders>
            <w:shd w:val="clear"/>
            <w:noWrap/>
            <w:vAlign w:val="bottom"/>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trPr>
        <w:tc>
          <w:tcPr>
            <w:tcW w:w="14670" w:type="dxa"/>
            <w:gridSpan w:val="5"/>
            <w:tcBorders>
              <w:top w:val="nil"/>
              <w:left w:val="nil"/>
              <w:bottom w:val="nil"/>
              <w:right w:val="nil"/>
            </w:tcBorders>
            <w:shd w:val="clear"/>
            <w:noWrap/>
            <w:vAlign w:val="bottom"/>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1262" w:type="dxa"/>
          <w:trHeight w:val="620" w:hRule="atLeast"/>
        </w:trPr>
        <w:tc>
          <w:tcPr>
            <w:tcW w:w="13408" w:type="dxa"/>
            <w:gridSpan w:val="4"/>
            <w:tcBorders>
              <w:top w:val="nil"/>
              <w:left w:val="nil"/>
              <w:bottom w:val="nil"/>
              <w:right w:val="nil"/>
            </w:tcBorders>
            <w:shd w:val="clear"/>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40"/>
                <w:szCs w:val="40"/>
                <w:u w:val="none"/>
                <w:bdr w:val="none" w:color="auto" w:sz="0" w:space="0"/>
                <w:lang w:val="en-US" w:eastAsia="zh-CN" w:bidi="ar"/>
              </w:rPr>
            </w:pPr>
          </w:p>
          <w:p>
            <w:pPr>
              <w:keepNext w:val="0"/>
              <w:keepLines w:val="0"/>
              <w:widowControl/>
              <w:suppressLineNumbers w:val="0"/>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bdr w:val="none" w:color="auto" w:sz="0" w:space="0"/>
                <w:lang w:val="en-US" w:eastAsia="zh-CN" w:bidi="ar"/>
              </w:rPr>
              <w:t>目    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1262" w:type="dxa"/>
          <w:trHeight w:val="480" w:hRule="atLeast"/>
        </w:trPr>
        <w:tc>
          <w:tcPr>
            <w:tcW w:w="8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报表</w:t>
            </w:r>
          </w:p>
        </w:tc>
        <w:tc>
          <w:tcPr>
            <w:tcW w:w="860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报表名称</w:t>
            </w:r>
          </w:p>
        </w:tc>
        <w:tc>
          <w:tcPr>
            <w:tcW w:w="111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是否空表</w:t>
            </w:r>
          </w:p>
        </w:tc>
        <w:tc>
          <w:tcPr>
            <w:tcW w:w="286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公开空表理由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1262" w:type="dxa"/>
          <w:trHeight w:val="412" w:hRule="atLeast"/>
        </w:trPr>
        <w:tc>
          <w:tcPr>
            <w:tcW w:w="8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表</w:t>
            </w:r>
            <w:r>
              <w:rPr>
                <w:rStyle w:val="16"/>
                <w:rFonts w:eastAsia="宋体"/>
                <w:bdr w:val="none" w:color="auto" w:sz="0" w:space="0"/>
                <w:lang w:val="en-US" w:eastAsia="zh-CN" w:bidi="ar"/>
              </w:rPr>
              <w:t>1</w:t>
            </w:r>
          </w:p>
        </w:tc>
        <w:tc>
          <w:tcPr>
            <w:tcW w:w="860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bdr w:val="none" w:color="auto" w:sz="0" w:space="0"/>
                <w:lang w:val="en-US" w:eastAsia="zh-CN" w:bidi="ar"/>
              </w:rPr>
              <w:t>202</w:t>
            </w:r>
            <w:r>
              <w:rPr>
                <w:rFonts w:hint="eastAsia" w:ascii="Arial" w:hAnsi="Arial" w:eastAsia="宋体" w:cs="Arial"/>
                <w:i w:val="0"/>
                <w:iCs w:val="0"/>
                <w:color w:val="000000"/>
                <w:kern w:val="0"/>
                <w:sz w:val="22"/>
                <w:szCs w:val="22"/>
                <w:u w:val="none"/>
                <w:bdr w:val="none" w:color="auto" w:sz="0" w:space="0"/>
                <w:lang w:val="en-US" w:eastAsia="zh-CN" w:bidi="ar"/>
              </w:rPr>
              <w:t>2</w:t>
            </w:r>
            <w:r>
              <w:rPr>
                <w:rStyle w:val="17"/>
                <w:bdr w:val="none" w:color="auto" w:sz="0" w:space="0"/>
                <w:lang w:val="en-US" w:eastAsia="zh-CN" w:bidi="ar"/>
              </w:rPr>
              <w:t>年部门综合预算收支总表</w:t>
            </w:r>
          </w:p>
        </w:tc>
        <w:tc>
          <w:tcPr>
            <w:tcW w:w="111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w:t>
            </w:r>
          </w:p>
        </w:tc>
        <w:tc>
          <w:tcPr>
            <w:tcW w:w="286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default" w:ascii="Arial" w:hAnsi="Arial" w:cs="Arial"/>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1262" w:type="dxa"/>
          <w:trHeight w:val="389" w:hRule="atLeast"/>
        </w:trPr>
        <w:tc>
          <w:tcPr>
            <w:tcW w:w="8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表</w:t>
            </w:r>
            <w:r>
              <w:rPr>
                <w:rStyle w:val="16"/>
                <w:rFonts w:eastAsia="宋体"/>
                <w:bdr w:val="none" w:color="auto" w:sz="0" w:space="0"/>
                <w:lang w:val="en-US" w:eastAsia="zh-CN" w:bidi="ar"/>
              </w:rPr>
              <w:t>2</w:t>
            </w:r>
          </w:p>
        </w:tc>
        <w:tc>
          <w:tcPr>
            <w:tcW w:w="860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bdr w:val="none" w:color="auto" w:sz="0" w:space="0"/>
                <w:lang w:val="en-US" w:eastAsia="zh-CN" w:bidi="ar"/>
              </w:rPr>
              <w:t>202</w:t>
            </w:r>
            <w:r>
              <w:rPr>
                <w:rFonts w:hint="eastAsia" w:ascii="Arial" w:hAnsi="Arial" w:eastAsia="宋体" w:cs="Arial"/>
                <w:i w:val="0"/>
                <w:iCs w:val="0"/>
                <w:color w:val="000000"/>
                <w:kern w:val="0"/>
                <w:sz w:val="22"/>
                <w:szCs w:val="22"/>
                <w:u w:val="none"/>
                <w:bdr w:val="none" w:color="auto" w:sz="0" w:space="0"/>
                <w:lang w:val="en-US" w:eastAsia="zh-CN" w:bidi="ar"/>
              </w:rPr>
              <w:t>2</w:t>
            </w:r>
            <w:r>
              <w:rPr>
                <w:rStyle w:val="18"/>
                <w:bdr w:val="none" w:color="auto" w:sz="0" w:space="0"/>
                <w:lang w:val="en-US" w:eastAsia="zh-CN" w:bidi="ar"/>
              </w:rPr>
              <w:t>年部门综合预算收入总表</w:t>
            </w:r>
          </w:p>
        </w:tc>
        <w:tc>
          <w:tcPr>
            <w:tcW w:w="111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w:t>
            </w:r>
          </w:p>
        </w:tc>
        <w:tc>
          <w:tcPr>
            <w:tcW w:w="286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default" w:ascii="Arial" w:hAnsi="Arial" w:cs="Arial"/>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1262" w:type="dxa"/>
          <w:trHeight w:val="436" w:hRule="atLeast"/>
        </w:trPr>
        <w:tc>
          <w:tcPr>
            <w:tcW w:w="8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表</w:t>
            </w:r>
            <w:r>
              <w:rPr>
                <w:rStyle w:val="16"/>
                <w:rFonts w:eastAsia="宋体"/>
                <w:bdr w:val="none" w:color="auto" w:sz="0" w:space="0"/>
                <w:lang w:val="en-US" w:eastAsia="zh-CN" w:bidi="ar"/>
              </w:rPr>
              <w:t>3</w:t>
            </w:r>
          </w:p>
        </w:tc>
        <w:tc>
          <w:tcPr>
            <w:tcW w:w="860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bdr w:val="none" w:color="auto" w:sz="0" w:space="0"/>
                <w:lang w:val="en-US" w:eastAsia="zh-CN" w:bidi="ar"/>
              </w:rPr>
              <w:t>202</w:t>
            </w:r>
            <w:r>
              <w:rPr>
                <w:rFonts w:hint="eastAsia" w:ascii="Arial" w:hAnsi="Arial" w:eastAsia="宋体" w:cs="Arial"/>
                <w:i w:val="0"/>
                <w:iCs w:val="0"/>
                <w:color w:val="000000"/>
                <w:kern w:val="0"/>
                <w:sz w:val="22"/>
                <w:szCs w:val="22"/>
                <w:u w:val="none"/>
                <w:bdr w:val="none" w:color="auto" w:sz="0" w:space="0"/>
                <w:lang w:val="en-US" w:eastAsia="zh-CN" w:bidi="ar"/>
              </w:rPr>
              <w:t>2</w:t>
            </w:r>
            <w:r>
              <w:rPr>
                <w:rStyle w:val="17"/>
                <w:bdr w:val="none" w:color="auto" w:sz="0" w:space="0"/>
                <w:lang w:val="en-US" w:eastAsia="zh-CN" w:bidi="ar"/>
              </w:rPr>
              <w:t>年部门综合预算支出总表</w:t>
            </w:r>
          </w:p>
        </w:tc>
        <w:tc>
          <w:tcPr>
            <w:tcW w:w="111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w:t>
            </w:r>
          </w:p>
        </w:tc>
        <w:tc>
          <w:tcPr>
            <w:tcW w:w="286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default" w:ascii="Arial" w:hAnsi="Arial" w:cs="Arial"/>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1262" w:type="dxa"/>
          <w:trHeight w:val="401" w:hRule="atLeast"/>
        </w:trPr>
        <w:tc>
          <w:tcPr>
            <w:tcW w:w="8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表</w:t>
            </w:r>
            <w:r>
              <w:rPr>
                <w:rStyle w:val="16"/>
                <w:rFonts w:eastAsia="宋体"/>
                <w:bdr w:val="none" w:color="auto" w:sz="0" w:space="0"/>
                <w:lang w:val="en-US" w:eastAsia="zh-CN" w:bidi="ar"/>
              </w:rPr>
              <w:t>4</w:t>
            </w:r>
          </w:p>
        </w:tc>
        <w:tc>
          <w:tcPr>
            <w:tcW w:w="860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bdr w:val="none" w:color="auto" w:sz="0" w:space="0"/>
                <w:lang w:val="en-US" w:eastAsia="zh-CN" w:bidi="ar"/>
              </w:rPr>
              <w:t>202</w:t>
            </w:r>
            <w:r>
              <w:rPr>
                <w:rFonts w:hint="eastAsia" w:ascii="Arial" w:hAnsi="Arial" w:eastAsia="宋体" w:cs="Arial"/>
                <w:i w:val="0"/>
                <w:iCs w:val="0"/>
                <w:color w:val="000000"/>
                <w:kern w:val="0"/>
                <w:sz w:val="22"/>
                <w:szCs w:val="22"/>
                <w:u w:val="none"/>
                <w:bdr w:val="none" w:color="auto" w:sz="0" w:space="0"/>
                <w:lang w:val="en-US" w:eastAsia="zh-CN" w:bidi="ar"/>
              </w:rPr>
              <w:t>2</w:t>
            </w:r>
            <w:r>
              <w:rPr>
                <w:rStyle w:val="17"/>
                <w:bdr w:val="none" w:color="auto" w:sz="0" w:space="0"/>
                <w:lang w:val="en-US" w:eastAsia="zh-CN" w:bidi="ar"/>
              </w:rPr>
              <w:t>年部门综合预算财政拨款收支总表</w:t>
            </w:r>
          </w:p>
        </w:tc>
        <w:tc>
          <w:tcPr>
            <w:tcW w:w="111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w:t>
            </w:r>
          </w:p>
        </w:tc>
        <w:tc>
          <w:tcPr>
            <w:tcW w:w="286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default" w:ascii="Arial" w:hAnsi="Arial" w:cs="Arial"/>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1262" w:type="dxa"/>
          <w:trHeight w:val="389" w:hRule="atLeast"/>
        </w:trPr>
        <w:tc>
          <w:tcPr>
            <w:tcW w:w="8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表</w:t>
            </w:r>
            <w:r>
              <w:rPr>
                <w:rStyle w:val="16"/>
                <w:rFonts w:eastAsia="宋体"/>
                <w:bdr w:val="none" w:color="auto" w:sz="0" w:space="0"/>
                <w:lang w:val="en-US" w:eastAsia="zh-CN" w:bidi="ar"/>
              </w:rPr>
              <w:t>5</w:t>
            </w:r>
          </w:p>
        </w:tc>
        <w:tc>
          <w:tcPr>
            <w:tcW w:w="860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bdr w:val="none" w:color="auto" w:sz="0" w:space="0"/>
                <w:lang w:val="en-US" w:eastAsia="zh-CN" w:bidi="ar"/>
              </w:rPr>
              <w:t>202</w:t>
            </w:r>
            <w:r>
              <w:rPr>
                <w:rFonts w:hint="eastAsia" w:ascii="Arial" w:hAnsi="Arial" w:eastAsia="宋体" w:cs="Arial"/>
                <w:i w:val="0"/>
                <w:iCs w:val="0"/>
                <w:color w:val="000000"/>
                <w:kern w:val="0"/>
                <w:sz w:val="22"/>
                <w:szCs w:val="22"/>
                <w:u w:val="none"/>
                <w:bdr w:val="none" w:color="auto" w:sz="0" w:space="0"/>
                <w:lang w:val="en-US" w:eastAsia="zh-CN" w:bidi="ar"/>
              </w:rPr>
              <w:t>2</w:t>
            </w:r>
            <w:r>
              <w:rPr>
                <w:rStyle w:val="17"/>
                <w:bdr w:val="none" w:color="auto" w:sz="0" w:space="0"/>
                <w:lang w:val="en-US" w:eastAsia="zh-CN" w:bidi="ar"/>
              </w:rPr>
              <w:t>年部门综合预算一般公共预算支出明细表（按支出功能分类科目）</w:t>
            </w:r>
          </w:p>
        </w:tc>
        <w:tc>
          <w:tcPr>
            <w:tcW w:w="111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w:t>
            </w:r>
          </w:p>
        </w:tc>
        <w:tc>
          <w:tcPr>
            <w:tcW w:w="286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default" w:ascii="Arial" w:hAnsi="Arial" w:cs="Arial"/>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1262" w:type="dxa"/>
          <w:trHeight w:val="412" w:hRule="atLeast"/>
        </w:trPr>
        <w:tc>
          <w:tcPr>
            <w:tcW w:w="8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表</w:t>
            </w:r>
            <w:r>
              <w:rPr>
                <w:rStyle w:val="16"/>
                <w:rFonts w:eastAsia="宋体"/>
                <w:bdr w:val="none" w:color="auto" w:sz="0" w:space="0"/>
                <w:lang w:val="en-US" w:eastAsia="zh-CN" w:bidi="ar"/>
              </w:rPr>
              <w:t>6</w:t>
            </w:r>
          </w:p>
        </w:tc>
        <w:tc>
          <w:tcPr>
            <w:tcW w:w="860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bdr w:val="none" w:color="auto" w:sz="0" w:space="0"/>
                <w:lang w:val="en-US" w:eastAsia="zh-CN" w:bidi="ar"/>
              </w:rPr>
              <w:t>202</w:t>
            </w:r>
            <w:r>
              <w:rPr>
                <w:rFonts w:hint="eastAsia" w:ascii="Arial" w:hAnsi="Arial" w:eastAsia="宋体" w:cs="Arial"/>
                <w:i w:val="0"/>
                <w:iCs w:val="0"/>
                <w:color w:val="000000"/>
                <w:kern w:val="0"/>
                <w:sz w:val="22"/>
                <w:szCs w:val="22"/>
                <w:u w:val="none"/>
                <w:bdr w:val="none" w:color="auto" w:sz="0" w:space="0"/>
                <w:lang w:val="en-US" w:eastAsia="zh-CN" w:bidi="ar"/>
              </w:rPr>
              <w:t>2</w:t>
            </w:r>
            <w:r>
              <w:rPr>
                <w:rStyle w:val="17"/>
                <w:bdr w:val="none" w:color="auto" w:sz="0" w:space="0"/>
                <w:lang w:val="en-US" w:eastAsia="zh-CN" w:bidi="ar"/>
              </w:rPr>
              <w:t>年部门综合预算一般公共预算支出明细表（按支出经济分类科目）</w:t>
            </w:r>
          </w:p>
        </w:tc>
        <w:tc>
          <w:tcPr>
            <w:tcW w:w="111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w:t>
            </w:r>
          </w:p>
        </w:tc>
        <w:tc>
          <w:tcPr>
            <w:tcW w:w="286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default" w:ascii="Arial" w:hAnsi="Arial" w:cs="Arial"/>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1262" w:type="dxa"/>
          <w:trHeight w:val="413" w:hRule="atLeast"/>
        </w:trPr>
        <w:tc>
          <w:tcPr>
            <w:tcW w:w="8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表</w:t>
            </w:r>
            <w:r>
              <w:rPr>
                <w:rStyle w:val="16"/>
                <w:rFonts w:eastAsia="宋体"/>
                <w:bdr w:val="none" w:color="auto" w:sz="0" w:space="0"/>
                <w:lang w:val="en-US" w:eastAsia="zh-CN" w:bidi="ar"/>
              </w:rPr>
              <w:t>7</w:t>
            </w:r>
          </w:p>
        </w:tc>
        <w:tc>
          <w:tcPr>
            <w:tcW w:w="860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bdr w:val="none" w:color="auto" w:sz="0" w:space="0"/>
                <w:lang w:val="en-US" w:eastAsia="zh-CN" w:bidi="ar"/>
              </w:rPr>
              <w:t>202</w:t>
            </w:r>
            <w:r>
              <w:rPr>
                <w:rFonts w:hint="eastAsia" w:ascii="Arial" w:hAnsi="Arial" w:eastAsia="宋体" w:cs="Arial"/>
                <w:i w:val="0"/>
                <w:iCs w:val="0"/>
                <w:color w:val="000000"/>
                <w:kern w:val="0"/>
                <w:sz w:val="22"/>
                <w:szCs w:val="22"/>
                <w:u w:val="none"/>
                <w:bdr w:val="none" w:color="auto" w:sz="0" w:space="0"/>
                <w:lang w:val="en-US" w:eastAsia="zh-CN" w:bidi="ar"/>
              </w:rPr>
              <w:t>2</w:t>
            </w:r>
            <w:r>
              <w:rPr>
                <w:rStyle w:val="17"/>
                <w:bdr w:val="none" w:color="auto" w:sz="0" w:space="0"/>
                <w:lang w:val="en-US" w:eastAsia="zh-CN" w:bidi="ar"/>
              </w:rPr>
              <w:t>年部门综合预算一般公共预算基本支出明细表（按支出功能分类科目）</w:t>
            </w:r>
          </w:p>
        </w:tc>
        <w:tc>
          <w:tcPr>
            <w:tcW w:w="111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w:t>
            </w:r>
          </w:p>
        </w:tc>
        <w:tc>
          <w:tcPr>
            <w:tcW w:w="286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default" w:ascii="Arial" w:hAnsi="Arial" w:cs="Arial"/>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1262" w:type="dxa"/>
          <w:trHeight w:val="390" w:hRule="atLeast"/>
        </w:trPr>
        <w:tc>
          <w:tcPr>
            <w:tcW w:w="8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表</w:t>
            </w:r>
            <w:r>
              <w:rPr>
                <w:rStyle w:val="16"/>
                <w:rFonts w:eastAsia="宋体"/>
                <w:bdr w:val="none" w:color="auto" w:sz="0" w:space="0"/>
                <w:lang w:val="en-US" w:eastAsia="zh-CN" w:bidi="ar"/>
              </w:rPr>
              <w:t>8</w:t>
            </w:r>
          </w:p>
        </w:tc>
        <w:tc>
          <w:tcPr>
            <w:tcW w:w="860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bdr w:val="none" w:color="auto" w:sz="0" w:space="0"/>
                <w:lang w:val="en-US" w:eastAsia="zh-CN" w:bidi="ar"/>
              </w:rPr>
              <w:t>202</w:t>
            </w:r>
            <w:r>
              <w:rPr>
                <w:rFonts w:hint="eastAsia" w:ascii="Arial" w:hAnsi="Arial" w:eastAsia="宋体" w:cs="Arial"/>
                <w:i w:val="0"/>
                <w:iCs w:val="0"/>
                <w:color w:val="000000"/>
                <w:kern w:val="0"/>
                <w:sz w:val="22"/>
                <w:szCs w:val="22"/>
                <w:u w:val="none"/>
                <w:bdr w:val="none" w:color="auto" w:sz="0" w:space="0"/>
                <w:lang w:val="en-US" w:eastAsia="zh-CN" w:bidi="ar"/>
              </w:rPr>
              <w:t>2</w:t>
            </w:r>
            <w:r>
              <w:rPr>
                <w:rStyle w:val="17"/>
                <w:bdr w:val="none" w:color="auto" w:sz="0" w:space="0"/>
                <w:lang w:val="en-US" w:eastAsia="zh-CN" w:bidi="ar"/>
              </w:rPr>
              <w:t>年部门综合预算一般公共预算基本支出明细表（按支出经济分类科目）</w:t>
            </w:r>
          </w:p>
        </w:tc>
        <w:tc>
          <w:tcPr>
            <w:tcW w:w="111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w:t>
            </w:r>
          </w:p>
        </w:tc>
        <w:tc>
          <w:tcPr>
            <w:tcW w:w="286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default" w:ascii="Arial" w:hAnsi="Arial" w:cs="Arial"/>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1262" w:type="dxa"/>
          <w:trHeight w:val="366" w:hRule="atLeast"/>
        </w:trPr>
        <w:tc>
          <w:tcPr>
            <w:tcW w:w="8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表</w:t>
            </w:r>
            <w:r>
              <w:rPr>
                <w:rStyle w:val="16"/>
                <w:rFonts w:eastAsia="宋体"/>
                <w:bdr w:val="none" w:color="auto" w:sz="0" w:space="0"/>
                <w:lang w:val="en-US" w:eastAsia="zh-CN" w:bidi="ar"/>
              </w:rPr>
              <w:t>9</w:t>
            </w:r>
          </w:p>
        </w:tc>
        <w:tc>
          <w:tcPr>
            <w:tcW w:w="860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bdr w:val="none" w:color="auto" w:sz="0" w:space="0"/>
                <w:lang w:val="en-US" w:eastAsia="zh-CN" w:bidi="ar"/>
              </w:rPr>
              <w:t>202</w:t>
            </w:r>
            <w:r>
              <w:rPr>
                <w:rFonts w:hint="eastAsia" w:ascii="Arial" w:hAnsi="Arial" w:eastAsia="宋体" w:cs="Arial"/>
                <w:i w:val="0"/>
                <w:iCs w:val="0"/>
                <w:color w:val="000000"/>
                <w:kern w:val="0"/>
                <w:sz w:val="22"/>
                <w:szCs w:val="22"/>
                <w:u w:val="none"/>
                <w:bdr w:val="none" w:color="auto" w:sz="0" w:space="0"/>
                <w:lang w:val="en-US" w:eastAsia="zh-CN" w:bidi="ar"/>
              </w:rPr>
              <w:t>2</w:t>
            </w:r>
            <w:r>
              <w:rPr>
                <w:rStyle w:val="17"/>
                <w:bdr w:val="none" w:color="auto" w:sz="0" w:space="0"/>
                <w:lang w:val="en-US" w:eastAsia="zh-CN" w:bidi="ar"/>
              </w:rPr>
              <w:t>年部门综合预算政府性基金收支表</w:t>
            </w:r>
          </w:p>
        </w:tc>
        <w:tc>
          <w:tcPr>
            <w:tcW w:w="111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是</w:t>
            </w:r>
          </w:p>
        </w:tc>
        <w:tc>
          <w:tcPr>
            <w:tcW w:w="286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不涉及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1262" w:type="dxa"/>
          <w:trHeight w:val="389" w:hRule="atLeast"/>
        </w:trPr>
        <w:tc>
          <w:tcPr>
            <w:tcW w:w="8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表</w:t>
            </w:r>
            <w:r>
              <w:rPr>
                <w:rStyle w:val="16"/>
                <w:rFonts w:eastAsia="宋体"/>
                <w:bdr w:val="none" w:color="auto" w:sz="0" w:space="0"/>
                <w:lang w:val="en-US" w:eastAsia="zh-CN" w:bidi="ar"/>
              </w:rPr>
              <w:t>10</w:t>
            </w:r>
          </w:p>
        </w:tc>
        <w:tc>
          <w:tcPr>
            <w:tcW w:w="860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bdr w:val="none" w:color="auto" w:sz="0" w:space="0"/>
                <w:lang w:val="en-US" w:eastAsia="zh-CN" w:bidi="ar"/>
              </w:rPr>
              <w:t>202</w:t>
            </w:r>
            <w:r>
              <w:rPr>
                <w:rFonts w:hint="eastAsia" w:ascii="Arial" w:hAnsi="Arial" w:eastAsia="宋体" w:cs="Arial"/>
                <w:i w:val="0"/>
                <w:iCs w:val="0"/>
                <w:color w:val="000000"/>
                <w:kern w:val="0"/>
                <w:sz w:val="22"/>
                <w:szCs w:val="22"/>
                <w:u w:val="none"/>
                <w:bdr w:val="none" w:color="auto" w:sz="0" w:space="0"/>
                <w:lang w:val="en-US" w:eastAsia="zh-CN" w:bidi="ar"/>
              </w:rPr>
              <w:t>2</w:t>
            </w:r>
            <w:r>
              <w:rPr>
                <w:rStyle w:val="17"/>
                <w:bdr w:val="none" w:color="auto" w:sz="0" w:space="0"/>
                <w:lang w:val="en-US" w:eastAsia="zh-CN" w:bidi="ar"/>
              </w:rPr>
              <w:t>年部门综合预算专项业务经费支出表</w:t>
            </w:r>
          </w:p>
        </w:tc>
        <w:tc>
          <w:tcPr>
            <w:tcW w:w="111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w:t>
            </w:r>
          </w:p>
        </w:tc>
        <w:tc>
          <w:tcPr>
            <w:tcW w:w="286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default" w:ascii="Arial" w:hAnsi="Arial" w:cs="Arial"/>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1262" w:type="dxa"/>
          <w:trHeight w:val="412" w:hRule="atLeast"/>
        </w:trPr>
        <w:tc>
          <w:tcPr>
            <w:tcW w:w="8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表</w:t>
            </w:r>
            <w:r>
              <w:rPr>
                <w:rStyle w:val="16"/>
                <w:rFonts w:eastAsia="宋体"/>
                <w:bdr w:val="none" w:color="auto" w:sz="0" w:space="0"/>
                <w:lang w:val="en-US" w:eastAsia="zh-CN" w:bidi="ar"/>
              </w:rPr>
              <w:t>11</w:t>
            </w:r>
          </w:p>
        </w:tc>
        <w:tc>
          <w:tcPr>
            <w:tcW w:w="860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bdr w:val="none" w:color="auto" w:sz="0" w:space="0"/>
                <w:lang w:val="en-US" w:eastAsia="zh-CN" w:bidi="ar"/>
              </w:rPr>
              <w:t>202</w:t>
            </w:r>
            <w:r>
              <w:rPr>
                <w:rFonts w:hint="eastAsia" w:ascii="Arial" w:hAnsi="Arial" w:eastAsia="宋体" w:cs="Arial"/>
                <w:i w:val="0"/>
                <w:iCs w:val="0"/>
                <w:color w:val="000000"/>
                <w:kern w:val="0"/>
                <w:sz w:val="22"/>
                <w:szCs w:val="22"/>
                <w:u w:val="none"/>
                <w:bdr w:val="none" w:color="auto" w:sz="0" w:space="0"/>
                <w:lang w:val="en-US" w:eastAsia="zh-CN" w:bidi="ar"/>
              </w:rPr>
              <w:t>2</w:t>
            </w:r>
            <w:r>
              <w:rPr>
                <w:rStyle w:val="17"/>
                <w:bdr w:val="none" w:color="auto" w:sz="0" w:space="0"/>
                <w:lang w:val="en-US" w:eastAsia="zh-CN" w:bidi="ar"/>
              </w:rPr>
              <w:t>年部门综合预算财政拨款上年结转资金支出表</w:t>
            </w:r>
          </w:p>
        </w:tc>
        <w:tc>
          <w:tcPr>
            <w:tcW w:w="111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是</w:t>
            </w:r>
          </w:p>
        </w:tc>
        <w:tc>
          <w:tcPr>
            <w:tcW w:w="286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不涉及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1262" w:type="dxa"/>
          <w:trHeight w:val="401" w:hRule="atLeast"/>
        </w:trPr>
        <w:tc>
          <w:tcPr>
            <w:tcW w:w="8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表</w:t>
            </w:r>
            <w:r>
              <w:rPr>
                <w:rStyle w:val="16"/>
                <w:rFonts w:eastAsia="宋体"/>
                <w:bdr w:val="none" w:color="auto" w:sz="0" w:space="0"/>
                <w:lang w:val="en-US" w:eastAsia="zh-CN" w:bidi="ar"/>
              </w:rPr>
              <w:t>12</w:t>
            </w:r>
          </w:p>
        </w:tc>
        <w:tc>
          <w:tcPr>
            <w:tcW w:w="860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bdr w:val="none" w:color="auto" w:sz="0" w:space="0"/>
                <w:lang w:val="en-US" w:eastAsia="zh-CN" w:bidi="ar"/>
              </w:rPr>
              <w:t>202</w:t>
            </w:r>
            <w:r>
              <w:rPr>
                <w:rFonts w:hint="eastAsia" w:ascii="Arial" w:hAnsi="Arial" w:eastAsia="宋体" w:cs="Arial"/>
                <w:i w:val="0"/>
                <w:iCs w:val="0"/>
                <w:color w:val="000000"/>
                <w:kern w:val="0"/>
                <w:sz w:val="22"/>
                <w:szCs w:val="22"/>
                <w:u w:val="none"/>
                <w:bdr w:val="none" w:color="auto" w:sz="0" w:space="0"/>
                <w:lang w:val="en-US" w:eastAsia="zh-CN" w:bidi="ar"/>
              </w:rPr>
              <w:t>2</w:t>
            </w:r>
            <w:r>
              <w:rPr>
                <w:rStyle w:val="17"/>
                <w:bdr w:val="none" w:color="auto" w:sz="0" w:space="0"/>
                <w:lang w:val="en-US" w:eastAsia="zh-CN" w:bidi="ar"/>
              </w:rPr>
              <w:t>年部门综合预算政府采购（资产配置、购买服务）预算表</w:t>
            </w:r>
          </w:p>
        </w:tc>
        <w:tc>
          <w:tcPr>
            <w:tcW w:w="111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是</w:t>
            </w:r>
          </w:p>
        </w:tc>
        <w:tc>
          <w:tcPr>
            <w:tcW w:w="286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不涉及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262" w:type="dxa"/>
          <w:trHeight w:val="389" w:hRule="atLeast"/>
        </w:trPr>
        <w:tc>
          <w:tcPr>
            <w:tcW w:w="8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表</w:t>
            </w:r>
            <w:r>
              <w:rPr>
                <w:rStyle w:val="16"/>
                <w:rFonts w:eastAsia="宋体"/>
                <w:bdr w:val="none" w:color="auto" w:sz="0" w:space="0"/>
                <w:lang w:val="en-US" w:eastAsia="zh-CN" w:bidi="ar"/>
              </w:rPr>
              <w:t>13</w:t>
            </w:r>
          </w:p>
        </w:tc>
        <w:tc>
          <w:tcPr>
            <w:tcW w:w="860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bdr w:val="none" w:color="auto" w:sz="0" w:space="0"/>
                <w:lang w:val="en-US" w:eastAsia="zh-CN" w:bidi="ar"/>
              </w:rPr>
              <w:t>202</w:t>
            </w:r>
            <w:r>
              <w:rPr>
                <w:rFonts w:hint="eastAsia" w:ascii="Arial" w:hAnsi="Arial" w:eastAsia="宋体" w:cs="Arial"/>
                <w:i w:val="0"/>
                <w:iCs w:val="0"/>
                <w:color w:val="000000"/>
                <w:kern w:val="0"/>
                <w:sz w:val="22"/>
                <w:szCs w:val="22"/>
                <w:u w:val="none"/>
                <w:bdr w:val="none" w:color="auto" w:sz="0" w:space="0"/>
                <w:lang w:val="en-US" w:eastAsia="zh-CN" w:bidi="ar"/>
              </w:rPr>
              <w:t>2</w:t>
            </w:r>
            <w:r>
              <w:rPr>
                <w:rStyle w:val="17"/>
                <w:bdr w:val="none" w:color="auto" w:sz="0" w:space="0"/>
                <w:lang w:val="en-US" w:eastAsia="zh-CN" w:bidi="ar"/>
              </w:rPr>
              <w:t>年部门综合预算一般公共预算拨款</w:t>
            </w:r>
            <w:r>
              <w:rPr>
                <w:rStyle w:val="16"/>
                <w:rFonts w:eastAsia="宋体"/>
                <w:bdr w:val="none" w:color="auto" w:sz="0" w:space="0"/>
                <w:lang w:val="en-US" w:eastAsia="zh-CN" w:bidi="ar"/>
              </w:rPr>
              <w:t>“</w:t>
            </w:r>
            <w:r>
              <w:rPr>
                <w:rStyle w:val="17"/>
                <w:bdr w:val="none" w:color="auto" w:sz="0" w:space="0"/>
                <w:lang w:val="en-US" w:eastAsia="zh-CN" w:bidi="ar"/>
              </w:rPr>
              <w:t>三公</w:t>
            </w:r>
            <w:r>
              <w:rPr>
                <w:rStyle w:val="16"/>
                <w:rFonts w:eastAsia="宋体"/>
                <w:bdr w:val="none" w:color="auto" w:sz="0" w:space="0"/>
                <w:lang w:val="en-US" w:eastAsia="zh-CN" w:bidi="ar"/>
              </w:rPr>
              <w:t>”</w:t>
            </w:r>
            <w:r>
              <w:rPr>
                <w:rStyle w:val="17"/>
                <w:bdr w:val="none" w:color="auto" w:sz="0" w:space="0"/>
                <w:lang w:val="en-US" w:eastAsia="zh-CN" w:bidi="ar"/>
              </w:rPr>
              <w:t>经费及会议费、培训费支出预算表</w:t>
            </w:r>
          </w:p>
        </w:tc>
        <w:tc>
          <w:tcPr>
            <w:tcW w:w="111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w:t>
            </w:r>
          </w:p>
        </w:tc>
        <w:tc>
          <w:tcPr>
            <w:tcW w:w="286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default" w:ascii="Arial" w:hAnsi="Arial" w:cs="Arial"/>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262" w:type="dxa"/>
          <w:trHeight w:val="390" w:hRule="atLeast"/>
        </w:trPr>
        <w:tc>
          <w:tcPr>
            <w:tcW w:w="8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表</w:t>
            </w:r>
            <w:r>
              <w:rPr>
                <w:rStyle w:val="16"/>
                <w:rFonts w:eastAsia="宋体"/>
                <w:bdr w:val="none" w:color="auto" w:sz="0" w:space="0"/>
                <w:lang w:val="en-US" w:eastAsia="zh-CN" w:bidi="ar"/>
              </w:rPr>
              <w:t>14</w:t>
            </w:r>
          </w:p>
        </w:tc>
        <w:tc>
          <w:tcPr>
            <w:tcW w:w="860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bdr w:val="none" w:color="auto" w:sz="0" w:space="0"/>
                <w:lang w:val="en-US" w:eastAsia="zh-CN" w:bidi="ar"/>
              </w:rPr>
              <w:t>202</w:t>
            </w:r>
            <w:r>
              <w:rPr>
                <w:rFonts w:hint="eastAsia" w:ascii="Arial" w:hAnsi="Arial" w:eastAsia="宋体" w:cs="Arial"/>
                <w:i w:val="0"/>
                <w:iCs w:val="0"/>
                <w:color w:val="000000"/>
                <w:kern w:val="0"/>
                <w:sz w:val="22"/>
                <w:szCs w:val="22"/>
                <w:u w:val="none"/>
                <w:bdr w:val="none" w:color="auto" w:sz="0" w:space="0"/>
                <w:lang w:val="en-US" w:eastAsia="zh-CN" w:bidi="ar"/>
              </w:rPr>
              <w:t>2</w:t>
            </w:r>
            <w:r>
              <w:rPr>
                <w:rStyle w:val="17"/>
                <w:bdr w:val="none" w:color="auto" w:sz="0" w:space="0"/>
                <w:lang w:val="en-US" w:eastAsia="zh-CN" w:bidi="ar"/>
              </w:rPr>
              <w:t>年部门专项业务经费绩效目标表</w:t>
            </w:r>
          </w:p>
        </w:tc>
        <w:tc>
          <w:tcPr>
            <w:tcW w:w="111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w:t>
            </w:r>
          </w:p>
        </w:tc>
        <w:tc>
          <w:tcPr>
            <w:tcW w:w="286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default" w:ascii="Arial" w:hAnsi="Arial" w:cs="Arial"/>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262" w:type="dxa"/>
          <w:trHeight w:val="424" w:hRule="atLeast"/>
        </w:trPr>
        <w:tc>
          <w:tcPr>
            <w:tcW w:w="8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表</w:t>
            </w:r>
            <w:r>
              <w:rPr>
                <w:rStyle w:val="16"/>
                <w:rFonts w:eastAsia="宋体"/>
                <w:bdr w:val="none" w:color="auto" w:sz="0" w:space="0"/>
                <w:lang w:val="en-US" w:eastAsia="zh-CN" w:bidi="ar"/>
              </w:rPr>
              <w:t>15</w:t>
            </w:r>
          </w:p>
        </w:tc>
        <w:tc>
          <w:tcPr>
            <w:tcW w:w="860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bdr w:val="none" w:color="auto" w:sz="0" w:space="0"/>
                <w:lang w:val="en-US" w:eastAsia="zh-CN" w:bidi="ar"/>
              </w:rPr>
              <w:t>202</w:t>
            </w:r>
            <w:r>
              <w:rPr>
                <w:rFonts w:hint="eastAsia" w:ascii="Arial" w:hAnsi="Arial" w:eastAsia="宋体" w:cs="Arial"/>
                <w:i w:val="0"/>
                <w:iCs w:val="0"/>
                <w:color w:val="000000"/>
                <w:kern w:val="0"/>
                <w:sz w:val="22"/>
                <w:szCs w:val="22"/>
                <w:u w:val="none"/>
                <w:bdr w:val="none" w:color="auto" w:sz="0" w:space="0"/>
                <w:lang w:val="en-US" w:eastAsia="zh-CN" w:bidi="ar"/>
              </w:rPr>
              <w:t>2</w:t>
            </w:r>
            <w:r>
              <w:rPr>
                <w:rStyle w:val="17"/>
                <w:bdr w:val="none" w:color="auto" w:sz="0" w:space="0"/>
                <w:lang w:val="en-US" w:eastAsia="zh-CN" w:bidi="ar"/>
              </w:rPr>
              <w:t>年部门整体支出绩效目标表</w:t>
            </w:r>
          </w:p>
        </w:tc>
        <w:tc>
          <w:tcPr>
            <w:tcW w:w="111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w:t>
            </w:r>
          </w:p>
        </w:tc>
        <w:tc>
          <w:tcPr>
            <w:tcW w:w="2866"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default" w:ascii="Arial" w:hAnsi="Arial" w:cs="Arial"/>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262" w:type="dxa"/>
          <w:trHeight w:val="399" w:hRule="atLeast"/>
        </w:trPr>
        <w:tc>
          <w:tcPr>
            <w:tcW w:w="81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表</w:t>
            </w:r>
            <w:r>
              <w:rPr>
                <w:rStyle w:val="16"/>
                <w:rFonts w:eastAsia="宋体"/>
                <w:bdr w:val="none" w:color="auto" w:sz="0" w:space="0"/>
                <w:lang w:val="en-US" w:eastAsia="zh-CN" w:bidi="ar"/>
              </w:rPr>
              <w:t>16</w:t>
            </w:r>
          </w:p>
        </w:tc>
        <w:tc>
          <w:tcPr>
            <w:tcW w:w="8608"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default" w:ascii="Arial" w:hAnsi="Arial" w:cs="Arial"/>
                <w:i w:val="0"/>
                <w:iCs w:val="0"/>
                <w:color w:val="000000"/>
                <w:sz w:val="22"/>
                <w:szCs w:val="22"/>
                <w:u w:val="none"/>
              </w:rPr>
            </w:pPr>
            <w:r>
              <w:rPr>
                <w:rFonts w:hint="default" w:ascii="Arial" w:hAnsi="Arial" w:eastAsia="宋体" w:cs="Arial"/>
                <w:i w:val="0"/>
                <w:iCs w:val="0"/>
                <w:color w:val="000000"/>
                <w:kern w:val="0"/>
                <w:sz w:val="22"/>
                <w:szCs w:val="22"/>
                <w:u w:val="none"/>
                <w:bdr w:val="none" w:color="auto" w:sz="0" w:space="0"/>
                <w:lang w:val="en-US" w:eastAsia="zh-CN" w:bidi="ar"/>
              </w:rPr>
              <w:t>202</w:t>
            </w:r>
            <w:r>
              <w:rPr>
                <w:rFonts w:hint="eastAsia" w:ascii="Arial" w:hAnsi="Arial" w:eastAsia="宋体" w:cs="Arial"/>
                <w:i w:val="0"/>
                <w:iCs w:val="0"/>
                <w:color w:val="000000"/>
                <w:kern w:val="0"/>
                <w:sz w:val="22"/>
                <w:szCs w:val="22"/>
                <w:u w:val="none"/>
                <w:bdr w:val="none" w:color="auto" w:sz="0" w:space="0"/>
                <w:lang w:val="en-US" w:eastAsia="zh-CN" w:bidi="ar"/>
              </w:rPr>
              <w:t>2</w:t>
            </w:r>
            <w:r>
              <w:rPr>
                <w:rStyle w:val="18"/>
                <w:bdr w:val="none" w:color="auto" w:sz="0" w:space="0"/>
                <w:lang w:val="en-US" w:eastAsia="zh-CN" w:bidi="ar"/>
              </w:rPr>
              <w:t>年专项资金整体绩效目标表</w:t>
            </w:r>
          </w:p>
        </w:tc>
        <w:tc>
          <w:tcPr>
            <w:tcW w:w="111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是</w:t>
            </w:r>
          </w:p>
        </w:tc>
        <w:tc>
          <w:tcPr>
            <w:tcW w:w="286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不涉及</w:t>
            </w:r>
          </w:p>
        </w:tc>
      </w:tr>
    </w:tbl>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pPr>
    </w:p>
    <w:tbl>
      <w:tblPr>
        <w:tblStyle w:val="12"/>
        <w:tblpPr w:leftFromText="180" w:rightFromText="180" w:vertAnchor="text" w:horzAnchor="page" w:tblpX="1281" w:tblpY="395"/>
        <w:tblOverlap w:val="never"/>
        <w:tblW w:w="1501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7"/>
        <w:gridCol w:w="2713"/>
        <w:gridCol w:w="1214"/>
        <w:gridCol w:w="1964"/>
        <w:gridCol w:w="1541"/>
        <w:gridCol w:w="1977"/>
        <w:gridCol w:w="1323"/>
        <w:gridCol w:w="2441"/>
        <w:gridCol w:w="12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0" w:hRule="atLeast"/>
        </w:trPr>
        <w:tc>
          <w:tcPr>
            <w:tcW w:w="15014" w:type="dxa"/>
            <w:gridSpan w:val="9"/>
            <w:tcBorders>
              <w:top w:val="nil"/>
              <w:left w:val="nil"/>
              <w:bottom w:val="nil"/>
              <w:right w:val="nil"/>
            </w:tcBorders>
            <w:shd w:val="clear" w:color="auto" w:fill="auto"/>
            <w:noWrap/>
            <w:vAlign w:val="center"/>
          </w:tcPr>
          <w:p>
            <w:pPr>
              <w:pStyle w:val="11"/>
              <w:keepNext w:val="0"/>
              <w:keepLines w:val="0"/>
              <w:pageBreakBefore w:val="0"/>
              <w:widowControl/>
              <w:kinsoku/>
              <w:wordWrap/>
              <w:overflowPunct/>
              <w:topLinePunct w:val="0"/>
              <w:autoSpaceDE/>
              <w:autoSpaceDN/>
              <w:bidi w:val="0"/>
              <w:adjustRightInd/>
              <w:snapToGrid/>
              <w:spacing w:beforeAutospacing="0" w:afterAutospacing="0" w:line="400" w:lineRule="exact"/>
              <w:jc w:val="both"/>
              <w:textAlignment w:val="auto"/>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pPr>
            <w:r>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t>表1</w:t>
            </w:r>
          </w:p>
          <w:p>
            <w:pPr>
              <w:keepNext w:val="0"/>
              <w:keepLines w:val="0"/>
              <w:widowControl/>
              <w:suppressLineNumbers w:val="0"/>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lang w:val="en-US" w:eastAsia="zh-CN" w:bidi="ar"/>
              </w:rPr>
              <w:t>2022年部门综合预算收支总表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6478" w:type="dxa"/>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预算单位：中共西安市直属机关工作委员会</w:t>
            </w:r>
          </w:p>
        </w:tc>
        <w:tc>
          <w:tcPr>
            <w:tcW w:w="8536" w:type="dxa"/>
            <w:gridSpan w:val="5"/>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87"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392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                   入</w:t>
            </w:r>
          </w:p>
        </w:tc>
        <w:tc>
          <w:tcPr>
            <w:tcW w:w="10500"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 w:hRule="atLeast"/>
        </w:trPr>
        <w:tc>
          <w:tcPr>
            <w:tcW w:w="587"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71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    目</w:t>
            </w:r>
          </w:p>
        </w:tc>
        <w:tc>
          <w:tcPr>
            <w:tcW w:w="12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预算数</w:t>
            </w:r>
          </w:p>
        </w:tc>
        <w:tc>
          <w:tcPr>
            <w:tcW w:w="19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支出功能分科目   （按大类）</w:t>
            </w:r>
          </w:p>
        </w:tc>
        <w:tc>
          <w:tcPr>
            <w:tcW w:w="15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预算数</w:t>
            </w:r>
          </w:p>
        </w:tc>
        <w:tc>
          <w:tcPr>
            <w:tcW w:w="19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部门预算支出经济科目（按大类）</w:t>
            </w:r>
          </w:p>
        </w:tc>
        <w:tc>
          <w:tcPr>
            <w:tcW w:w="132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预算数</w:t>
            </w:r>
          </w:p>
        </w:tc>
        <w:tc>
          <w:tcPr>
            <w:tcW w:w="24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政府预算支出经济分类科目（按大类）</w:t>
            </w:r>
          </w:p>
        </w:tc>
        <w:tc>
          <w:tcPr>
            <w:tcW w:w="12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一、部门预算</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一、部门预算</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一、部门预算</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一、部门预算</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1、财政拨款</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1、一般公共服务支出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8729778.12</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1、人员经费和公用经费支出</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9648231.94</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1、机关工资福利支出</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8113688.67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(1)一般公共预算拨款</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2、外交支出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(1)工资福利支出</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8113688.67</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2、机关商品和服务支出</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3510223.27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其中：专项资金列入部门预算的项目</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3、国防支出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(2)商品和服务支出</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1110223.27</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3、机关资本性支出（一）</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(2)政府性基金拨款</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4、公共安全支出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(3)对个人和家庭的补助</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424320.00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4、机关资本性支出（二）</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(3)国有资本经营预算收入</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5、教育支出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840000.00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(4)资本性支出</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5、对事业单位经常性补助</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2、上级补助收入</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6、科学技术支出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2、专项业务经费支出</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2400000.00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6、对事业单位资本性补助</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3、事业收入</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w:t>
            </w:r>
            <w:r>
              <w:rPr>
                <w:rFonts w:hint="eastAsia" w:ascii="宋体" w:hAnsi="宋体" w:eastAsia="宋体" w:cs="宋体"/>
                <w:i w:val="0"/>
                <w:iCs w:val="0"/>
                <w:color w:val="000000"/>
                <w:w w:val="90"/>
                <w:kern w:val="0"/>
                <w:sz w:val="18"/>
                <w:szCs w:val="18"/>
                <w:u w:val="none"/>
                <w:lang w:val="en-US" w:eastAsia="zh-CN" w:bidi="ar"/>
              </w:rPr>
              <w:t>7、文化旅游体育与传媒支出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(1)工资福利支出</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7、对企业补助</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其中：纳入财政专户管理的收费</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8、社会保障和就业支出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988668.08</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(2)商品和服务支出</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2400000.00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8、对企业资本性支出</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4、事业单位经营收入</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9、社会保险基金支出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(3)对个人和家庭补助</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9、对个人和家庭的补助</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424320.00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5、附属单位上缴收入</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10、卫生健康支出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394680.27</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(4)债务利息及费用支出</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10、对社会保障基金补助</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6、其他收入</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11、节能环保支出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(5)资本性支出(基本建设)</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11、债务利息及费用支出</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12、城乡社区支出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(6)资本性支出</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12、债务还本支出</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13、农林水支出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(7)对企业补助(基本建设)</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13、转移性支出</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14、交通运输支出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(8)对企业补助</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14、预备费及预留</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15、</w:t>
            </w:r>
            <w:r>
              <w:rPr>
                <w:rFonts w:hint="eastAsia" w:ascii="宋体" w:hAnsi="宋体" w:eastAsia="宋体" w:cs="宋体"/>
                <w:i w:val="0"/>
                <w:iCs w:val="0"/>
                <w:color w:val="000000"/>
                <w:w w:val="85"/>
                <w:kern w:val="0"/>
                <w:sz w:val="18"/>
                <w:szCs w:val="18"/>
                <w:u w:val="none"/>
                <w:lang w:val="en-US" w:eastAsia="zh-CN" w:bidi="ar"/>
              </w:rPr>
              <w:t>资源勘探工业信息等支出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(9)对社会保障基金补助</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15、其他支出</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16、商业服务业等支出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(10)其他支出</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17、金融支出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3、上缴上级支出</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18、援助其他地区支出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4、事业单位经营支出</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19、</w:t>
            </w:r>
            <w:r>
              <w:rPr>
                <w:rFonts w:hint="eastAsia" w:ascii="宋体" w:hAnsi="宋体" w:eastAsia="宋体" w:cs="宋体"/>
                <w:i w:val="0"/>
                <w:iCs w:val="0"/>
                <w:color w:val="000000"/>
                <w:w w:val="85"/>
                <w:kern w:val="0"/>
                <w:sz w:val="18"/>
                <w:szCs w:val="18"/>
                <w:u w:val="none"/>
                <w:lang w:val="en-US" w:eastAsia="zh-CN" w:bidi="ar"/>
              </w:rPr>
              <w:t>自然资源海洋气象等支出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5、对附属单位补助支出</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20、住房保障支出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1095105.47</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21、粮油物资储备支出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22、</w:t>
            </w:r>
            <w:r>
              <w:rPr>
                <w:rFonts w:hint="eastAsia" w:ascii="宋体" w:hAnsi="宋体" w:eastAsia="宋体" w:cs="宋体"/>
                <w:i w:val="0"/>
                <w:iCs w:val="0"/>
                <w:color w:val="000000"/>
                <w:w w:val="90"/>
                <w:kern w:val="0"/>
                <w:sz w:val="18"/>
                <w:szCs w:val="18"/>
                <w:u w:val="none"/>
                <w:lang w:val="en-US" w:eastAsia="zh-CN" w:bidi="ar"/>
              </w:rPr>
              <w:t>国有资本经营预算支出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23、</w:t>
            </w:r>
            <w:r>
              <w:rPr>
                <w:rFonts w:hint="eastAsia" w:ascii="宋体" w:hAnsi="宋体" w:eastAsia="宋体" w:cs="宋体"/>
                <w:i w:val="0"/>
                <w:iCs w:val="0"/>
                <w:color w:val="000000"/>
                <w:w w:val="85"/>
                <w:kern w:val="0"/>
                <w:sz w:val="18"/>
                <w:szCs w:val="18"/>
                <w:u w:val="none"/>
                <w:lang w:val="en-US" w:eastAsia="zh-CN" w:bidi="ar"/>
              </w:rPr>
              <w:t>灾害防治及应急管理支出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24、预备费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25、其他支出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26、转移性支出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27、债务还本支出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28、债务付息支出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29、债务发行费用支出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本年收入合计</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12048231.94</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本年支出合计</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本年支出合计</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本年支出合计</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用事业基金弥补收支差额</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0.00</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结转下年</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结转下年</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结转下年</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上年实户资金余额</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0.00</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未安排支出的实户资金</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未安排支出的实户资金</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未安排支出的实户资金</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其中：财政拨款资金结转</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非财政拨款资金结余</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2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收入总计</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支出总计</w:t>
            </w:r>
          </w:p>
        </w:tc>
        <w:tc>
          <w:tcPr>
            <w:tcW w:w="1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支出总计</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c>
          <w:tcPr>
            <w:tcW w:w="2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支出总计</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r>
    </w:tbl>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left"/>
        <w:textAlignment w:val="auto"/>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pPr>
      <w:r>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t>表2</w:t>
      </w:r>
    </w:p>
    <w:tbl>
      <w:tblPr>
        <w:tblStyle w:val="12"/>
        <w:tblW w:w="146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80"/>
        <w:gridCol w:w="1116"/>
        <w:gridCol w:w="2736"/>
        <w:gridCol w:w="1206"/>
        <w:gridCol w:w="1206"/>
        <w:gridCol w:w="827"/>
        <w:gridCol w:w="720"/>
        <w:gridCol w:w="675"/>
        <w:gridCol w:w="807"/>
        <w:gridCol w:w="807"/>
        <w:gridCol w:w="820"/>
        <w:gridCol w:w="807"/>
        <w:gridCol w:w="803"/>
        <w:gridCol w:w="815"/>
        <w:gridCol w:w="8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4641" w:type="dxa"/>
            <w:gridSpan w:val="1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lang w:val="en-US" w:eastAsia="zh-CN" w:bidi="ar"/>
              </w:rPr>
              <w:t>2022年部门综合预算收入总表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0" w:type="auto"/>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预算单位：中共西安市直属机关工作委员会</w:t>
            </w:r>
          </w:p>
        </w:tc>
        <w:tc>
          <w:tcPr>
            <w:tcW w:w="0" w:type="auto"/>
            <w:gridSpan w:val="8"/>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单位编码</w:t>
            </w:r>
          </w:p>
        </w:tc>
        <w:tc>
          <w:tcPr>
            <w:tcW w:w="26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单位名称</w:t>
            </w:r>
          </w:p>
        </w:tc>
        <w:tc>
          <w:tcPr>
            <w:tcW w:w="0" w:type="auto"/>
            <w:gridSpan w:val="1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6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93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一般公共预算拨款</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政府性基金拨款</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上级补助收入</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事业收入</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事业单位经营收入</w:t>
            </w: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对附属单位上缴收入</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用事业基金弥补收支差额</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w:t>
            </w:r>
          </w:p>
        </w:tc>
        <w:tc>
          <w:tcPr>
            <w:tcW w:w="8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上年实户资金余额</w:t>
            </w: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6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其中：专项资金列入部门预算项目</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8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12048231.94</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12048231.94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中共西安市直属机关工作委员会</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12048231.94</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12048231.94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110001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中共西安市直属机关工作委员会</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12048231.94</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12048231.94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r>
    </w:tbl>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pPr>
      <w:r>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t>表3</w:t>
      </w:r>
    </w:p>
    <w:tbl>
      <w:tblPr>
        <w:tblStyle w:val="12"/>
        <w:tblW w:w="146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80"/>
        <w:gridCol w:w="1275"/>
        <w:gridCol w:w="2736"/>
        <w:gridCol w:w="1426"/>
        <w:gridCol w:w="1426"/>
        <w:gridCol w:w="952"/>
        <w:gridCol w:w="705"/>
        <w:gridCol w:w="929"/>
        <w:gridCol w:w="913"/>
        <w:gridCol w:w="923"/>
        <w:gridCol w:w="929"/>
        <w:gridCol w:w="916"/>
        <w:gridCol w:w="10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4625" w:type="dxa"/>
            <w:gridSpan w:val="1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lang w:val="en-US" w:eastAsia="zh-CN" w:bidi="ar"/>
              </w:rPr>
              <w:t>2022年部门综合预算支出总表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0" w:type="auto"/>
            <w:gridSpan w:val="6"/>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预算单位：中共西安市直属机关工作委员会</w:t>
            </w:r>
          </w:p>
        </w:tc>
        <w:tc>
          <w:tcPr>
            <w:tcW w:w="0" w:type="auto"/>
            <w:gridSpan w:val="7"/>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单位编码</w:t>
            </w:r>
          </w:p>
        </w:tc>
        <w:tc>
          <w:tcPr>
            <w:tcW w:w="273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单位名称</w:t>
            </w:r>
          </w:p>
        </w:tc>
        <w:tc>
          <w:tcPr>
            <w:tcW w:w="10134" w:type="dxa"/>
            <w:gridSpan w:val="10"/>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73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42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237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公共预算拨款</w:t>
            </w: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政府性基金拨款</w:t>
            </w:r>
          </w:p>
        </w:tc>
        <w:tc>
          <w:tcPr>
            <w:tcW w:w="92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事业收入</w:t>
            </w:r>
          </w:p>
        </w:tc>
        <w:tc>
          <w:tcPr>
            <w:tcW w:w="91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事业单位经营收入</w:t>
            </w:r>
          </w:p>
        </w:tc>
        <w:tc>
          <w:tcPr>
            <w:tcW w:w="9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对附属单位上缴收入</w:t>
            </w:r>
          </w:p>
        </w:tc>
        <w:tc>
          <w:tcPr>
            <w:tcW w:w="92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上年实户资金余额</w:t>
            </w:r>
          </w:p>
        </w:tc>
        <w:tc>
          <w:tcPr>
            <w:tcW w:w="91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其他收入</w:t>
            </w:r>
          </w:p>
        </w:tc>
        <w:tc>
          <w:tcPr>
            <w:tcW w:w="101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73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4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w:t>
            </w:r>
          </w:p>
        </w:tc>
        <w:tc>
          <w:tcPr>
            <w:tcW w:w="9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其中：专项资金列入部门预算的项目</w:t>
            </w: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91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9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91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01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12048231.94</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12048231.94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中共西安市直属机关工作委员会</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12048231.94</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12048231.94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110001</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中共西安市直属机关工作委员会</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12048231.94</w:t>
            </w: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12048231.94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r>
    </w:tbl>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pPr>
      <w:r>
        <w:rPr>
          <w:rFonts w:hint="eastAsia" w:asciiTheme="majorEastAsia" w:hAnsiTheme="majorEastAsia" w:eastAsiaTheme="majorEastAsia" w:cstheme="majorEastAsia"/>
          <w:color w:val="000000" w:themeColor="text1"/>
          <w:sz w:val="21"/>
          <w:szCs w:val="21"/>
          <w:shd w:val="clear" w:color="auto" w:fill="FFFFFF"/>
          <w:lang w:eastAsia="zh-CN"/>
          <w14:textFill>
            <w14:solidFill>
              <w14:schemeClr w14:val="tx1"/>
            </w14:solidFill>
          </w14:textFill>
        </w:rPr>
        <w:t>表4</w:t>
      </w:r>
    </w:p>
    <w:tbl>
      <w:tblPr>
        <w:tblStyle w:val="12"/>
        <w:tblW w:w="141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5"/>
        <w:gridCol w:w="1378"/>
        <w:gridCol w:w="1259"/>
        <w:gridCol w:w="2141"/>
        <w:gridCol w:w="1554"/>
        <w:gridCol w:w="2019"/>
        <w:gridCol w:w="1500"/>
        <w:gridCol w:w="2331"/>
        <w:gridCol w:w="15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4175"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lang w:val="en-US" w:eastAsia="zh-CN" w:bidi="ar"/>
              </w:rPr>
              <w:t>2022年部门综合预算财政拨款收支总表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243" w:type="dxa"/>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预算单位：中共西安市直属机关工作委员会</w:t>
            </w:r>
          </w:p>
        </w:tc>
        <w:tc>
          <w:tcPr>
            <w:tcW w:w="8932" w:type="dxa"/>
            <w:gridSpan w:val="5"/>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6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263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                   入</w:t>
            </w:r>
          </w:p>
        </w:tc>
        <w:tc>
          <w:tcPr>
            <w:tcW w:w="11073" w:type="dxa"/>
            <w:gridSpan w:val="6"/>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4" w:hRule="atLeast"/>
        </w:trPr>
        <w:tc>
          <w:tcPr>
            <w:tcW w:w="4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3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    目</w:t>
            </w:r>
          </w:p>
        </w:tc>
        <w:tc>
          <w:tcPr>
            <w:tcW w:w="12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预算数</w:t>
            </w:r>
          </w:p>
        </w:tc>
        <w:tc>
          <w:tcPr>
            <w:tcW w:w="21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支出功能分科目</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（按大类）</w:t>
            </w:r>
          </w:p>
        </w:tc>
        <w:tc>
          <w:tcPr>
            <w:tcW w:w="15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预算数</w:t>
            </w:r>
          </w:p>
        </w:tc>
        <w:tc>
          <w:tcPr>
            <w:tcW w:w="20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部门预算支出经济科目（按大类）</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预算数</w:t>
            </w:r>
          </w:p>
        </w:tc>
        <w:tc>
          <w:tcPr>
            <w:tcW w:w="233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政府预算支出经济科目</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（按大类）</w:t>
            </w:r>
          </w:p>
        </w:tc>
        <w:tc>
          <w:tcPr>
            <w:tcW w:w="15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一、财政拨款</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一、财政拨款</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一、财政拨款</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一、财政拨款</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1、一般公共预算拨款</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1、一般公共服务支出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8729778.12</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1、人员经费和公用经费支出</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9648231.94</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1、机关工资福利支出</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8113688.67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其中：专项资金列入部门预算的项目</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2、外交支出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(1)工资福利支出</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8113688.67</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2、机关商品和服务支出</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3510223.27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2、政府性基金拨款</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3、国防支出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(2)商品和服务支出</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1110223.27</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3、机关资本性支出（一）</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3、国有资本经营预算收入</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4、公共安全支出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(3)对个人和家庭的补助</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424320.00</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4、机关资本性支出（二）</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5、教育支出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840000.00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(4)资本性支出</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5、对事业单位经常性补助</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6、科学技术支出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2、专项业务经费支出</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2400000.00</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6、对事业单位资本性补助</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2"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7、文化旅游体育与传媒支出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(1)工资福利支出</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7、对企业补助</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8、社会保障和就业支出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988668.08</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(2)商品和服务支出</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2400000.00</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8、对企业资本性支出</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9、社会保险基金支出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(3)对个人和家庭补助</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9、对个人和家庭的补助</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424320.00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10、卫生健康支出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394680.27</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(4)债务利息及费用支出</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10、对社会保障基金补助</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2"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11、节能环保支出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(5)资本性支出(基本建设)</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11、债务利息及费用支出</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5"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12、城乡社区支出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(6)资本性支出</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12、债务还本支出</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13、农林水支出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(7)对企业补助(基本建设)</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13、转移性支出</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14、交通运输支出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(8)对企业补助</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14、预备费及预留</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15、资源勘探工业信息等支出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(9)对社会保障基金补助</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15、其他支出</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16、商业服务业等支出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(10)其他支出</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6"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17、金融支出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3、上缴上级支出</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18、援助其他地区支出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4、事业单位经营支出</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2"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19、自然资源海洋气象等支出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5、对附属单位补助支出</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1"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20、住房保障支出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1095105.47</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21、粮油物资储备支出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22、国有资本经营预算支出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23、灾害防治及应急管理支出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8"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24、预备费</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25、其他支出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26、转移性支出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27、债务还本支出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28、债务付息支出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29、债务发行费用支出</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本年收入合计</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本年支出合计</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12048231.94</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本年支出合计</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12048231.94</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本年支出合计</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bottom"/>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12048231.94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结转下年</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结转下年</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结转下年</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收入总计</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12048231.94</w:t>
            </w:r>
          </w:p>
        </w:tc>
        <w:tc>
          <w:tcPr>
            <w:tcW w:w="2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支出总计</w:t>
            </w:r>
          </w:p>
        </w:tc>
        <w:tc>
          <w:tcPr>
            <w:tcW w:w="1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12048231.94</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支出总计</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12048231.94</w:t>
            </w:r>
          </w:p>
        </w:tc>
        <w:tc>
          <w:tcPr>
            <w:tcW w:w="2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支出总计</w:t>
            </w:r>
          </w:p>
        </w:tc>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bottom"/>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12048231.94</w:t>
            </w:r>
          </w:p>
        </w:tc>
      </w:tr>
    </w:tbl>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r>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t>表5</w:t>
      </w:r>
    </w:p>
    <w:tbl>
      <w:tblPr>
        <w:tblStyle w:val="12"/>
        <w:tblW w:w="14495" w:type="dxa"/>
        <w:tblInd w:w="1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4"/>
        <w:gridCol w:w="1652"/>
        <w:gridCol w:w="3104"/>
        <w:gridCol w:w="1609"/>
        <w:gridCol w:w="2059"/>
        <w:gridCol w:w="2071"/>
        <w:gridCol w:w="2252"/>
        <w:gridCol w:w="11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44" w:hRule="atLeast"/>
        </w:trPr>
        <w:tc>
          <w:tcPr>
            <w:tcW w:w="14495" w:type="dxa"/>
            <w:gridSpan w:val="8"/>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lang w:val="en-US" w:eastAsia="zh-CN" w:bidi="ar"/>
              </w:rPr>
              <w:t>2022年部门综合预算一般公共预算支出明细表（按功能科目分）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7009" w:type="dxa"/>
            <w:gridSpan w:val="4"/>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预算单位：中共西安市直属机关工作委员会</w:t>
            </w:r>
          </w:p>
        </w:tc>
        <w:tc>
          <w:tcPr>
            <w:tcW w:w="7486" w:type="dxa"/>
            <w:gridSpan w:val="4"/>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64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65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功能科目编码</w:t>
            </w:r>
          </w:p>
        </w:tc>
        <w:tc>
          <w:tcPr>
            <w:tcW w:w="31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功能科目名称</w:t>
            </w:r>
          </w:p>
        </w:tc>
        <w:tc>
          <w:tcPr>
            <w:tcW w:w="16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205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人员经费支出</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公用经费支出</w:t>
            </w:r>
          </w:p>
        </w:tc>
        <w:tc>
          <w:tcPr>
            <w:tcW w:w="225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专项业务经费支出</w:t>
            </w:r>
          </w:p>
        </w:tc>
        <w:tc>
          <w:tcPr>
            <w:tcW w:w="11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5"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12048231.94</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9031046.67</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617185.27</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2400000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一般公共服务支出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8729778.12</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6552592.85</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617185.27</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1560000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20131</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党委办公厅(室)及相关机构事务</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8729778.12</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6552592.85</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617185.27</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1560000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2013101</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行政运行</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7169778.12</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6552592.85</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617185.27</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2013102</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一般行政管理事务</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760000</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760000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2013105</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专项业务</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800000</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800000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205</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教育支出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840000</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840000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20508</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进修及培训</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840000</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840000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2050803</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840000</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840000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社会保障和就业支出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988668.08</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988668.08</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20805</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行政事业单位养老支出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981523.39</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981523.39</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2080501</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行政单位离退休</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2080505</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机关事业单位基本养老保险缴费支出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654348.91</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654348.91</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2080506</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机关事业单位职业年金缴费支出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327174.48</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327174.48</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20899</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其他社会保障和就业支出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7144.69</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7144.69</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2089999</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其他社会保障和就业支出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7144.69</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7144.69</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卫生健康支出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394680.27</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394680.27</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21011</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行政事业单位医疗</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394680.27</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394680.27</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2101101</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行政单位医疗</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296994.2</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296994.2</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2101103</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公务员医疗补助</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97686.07</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97686.07</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住房保障支出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1095105.47</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1095105.47</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22102</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住房改革支出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1095105.47</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1095105.47</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2210201</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住房公积金</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591852.71</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591852.71</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2210203</w:t>
            </w:r>
          </w:p>
        </w:tc>
        <w:tc>
          <w:tcPr>
            <w:tcW w:w="3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购房补贴</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503252.76</w:t>
            </w:r>
          </w:p>
        </w:tc>
        <w:tc>
          <w:tcPr>
            <w:tcW w:w="20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503252.76</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2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bl>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r>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t>表6</w:t>
      </w:r>
    </w:p>
    <w:tbl>
      <w:tblPr>
        <w:tblStyle w:val="12"/>
        <w:tblW w:w="144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0"/>
        <w:gridCol w:w="1125"/>
        <w:gridCol w:w="2736"/>
        <w:gridCol w:w="915"/>
        <w:gridCol w:w="2073"/>
        <w:gridCol w:w="1377"/>
        <w:gridCol w:w="1596"/>
        <w:gridCol w:w="1350"/>
        <w:gridCol w:w="1664"/>
        <w:gridCol w:w="11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14440" w:type="dxa"/>
            <w:gridSpan w:val="10"/>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lang w:val="en-US" w:eastAsia="zh-CN" w:bidi="ar"/>
              </w:rPr>
              <w:t>2022年部门综合预算一般公共预算支出明细表（按经济分类科目分）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 w:hRule="atLeast"/>
        </w:trPr>
        <w:tc>
          <w:tcPr>
            <w:tcW w:w="7329" w:type="dxa"/>
            <w:gridSpan w:val="5"/>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预算单位：中共西安市直属机关工作委员会</w:t>
            </w:r>
          </w:p>
        </w:tc>
        <w:tc>
          <w:tcPr>
            <w:tcW w:w="7111" w:type="dxa"/>
            <w:gridSpan w:val="5"/>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1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部门经济科目编码</w:t>
            </w:r>
          </w:p>
        </w:tc>
        <w:tc>
          <w:tcPr>
            <w:tcW w:w="27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部门经济科目名称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政府经济科目编码</w:t>
            </w:r>
          </w:p>
        </w:tc>
        <w:tc>
          <w:tcPr>
            <w:tcW w:w="20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政府经济科目名称</w:t>
            </w:r>
          </w:p>
        </w:tc>
        <w:tc>
          <w:tcPr>
            <w:tcW w:w="13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5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人员经费支出</w:t>
            </w:r>
          </w:p>
        </w:tc>
        <w:tc>
          <w:tcPr>
            <w:tcW w:w="13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公用经费支出</w:t>
            </w:r>
          </w:p>
        </w:tc>
        <w:tc>
          <w:tcPr>
            <w:tcW w:w="16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专项业务经费支出</w:t>
            </w:r>
          </w:p>
        </w:tc>
        <w:tc>
          <w:tcPr>
            <w:tcW w:w="112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60" w:lineRule="exact"/>
              <w:rPr>
                <w:rFonts w:hint="eastAsia" w:ascii="宋体" w:hAnsi="宋体" w:eastAsia="宋体" w:cs="宋体"/>
                <w:i w:val="0"/>
                <w:iCs w:val="0"/>
                <w:color w:val="000000"/>
                <w:sz w:val="18"/>
                <w:szCs w:val="18"/>
                <w:u w:val="none"/>
              </w:rPr>
            </w:pP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60" w:lineRule="exact"/>
              <w:rPr>
                <w:rFonts w:hint="eastAsia" w:ascii="宋体" w:hAnsi="宋体" w:eastAsia="宋体" w:cs="宋体"/>
                <w:i w:val="0"/>
                <w:iCs w:val="0"/>
                <w:color w:val="000000"/>
                <w:sz w:val="18"/>
                <w:szCs w:val="18"/>
                <w:u w:val="none"/>
              </w:rPr>
            </w:pP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12048231.94</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9031046.67</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617185.27</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2400000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工资福利支出</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60" w:lineRule="exact"/>
              <w:rPr>
                <w:rFonts w:hint="eastAsia" w:ascii="宋体" w:hAnsi="宋体" w:eastAsia="宋体" w:cs="宋体"/>
                <w:i w:val="0"/>
                <w:iCs w:val="0"/>
                <w:color w:val="000000"/>
                <w:sz w:val="18"/>
                <w:szCs w:val="18"/>
                <w:u w:val="none"/>
              </w:rPr>
            </w:pP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8113688.67</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8113688.67</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30101</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基本工资</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50101</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工资奖金津补贴</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2296198.8</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2296198.8</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30102</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津贴补贴</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50101</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工资奖金津补贴</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2612288.81</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2612288.81</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30103</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奖金</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50101</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工资奖金津补贴</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1230000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1230000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30103</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奖金</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50905</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离退休费</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30108</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机关事业单位基本养老保险缴费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50102</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社会保障缴费</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654348.91</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654348.91</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30109</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职业年金缴费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50102</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社会保障缴费</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327174.48</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327174.48</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30110</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职工基本医疗保险缴费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50102</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社会保障缴费</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296994.2</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296994.2</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30111</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公务员医疗补助缴费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50102</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社会保障缴费</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97686.07</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97686.07</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30112</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其他社会保障缴费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50102</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社会保障缴费</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7144.69</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7144.69</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30113</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住房公积金</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50103</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住房公积金</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591852.71</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591852.71</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商品和服务支出</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60" w:lineRule="exact"/>
              <w:rPr>
                <w:rFonts w:hint="eastAsia" w:ascii="宋体" w:hAnsi="宋体" w:eastAsia="宋体" w:cs="宋体"/>
                <w:i w:val="0"/>
                <w:iCs w:val="0"/>
                <w:color w:val="000000"/>
                <w:sz w:val="18"/>
                <w:szCs w:val="18"/>
                <w:u w:val="none"/>
              </w:rPr>
            </w:pP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3510223.27</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493038</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617185.27</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2400000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30201</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50201</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办公经费</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2008000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448000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1560000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30211</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差旅费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50201</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办公经费</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40000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40000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30216</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50203</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培训费</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840000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840000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30226</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劳务费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50205</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委托业务费</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45000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45000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30228</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工会经费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50201</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办公经费</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59185.27</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59185.27</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30231</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公务用车运行维护费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50208</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公务用车运行维护费</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25000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25000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30239</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其他交通费用</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50201</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办公经费</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493038</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493038</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对个人和家庭的补助</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60" w:lineRule="exact"/>
              <w:rPr>
                <w:rFonts w:hint="eastAsia" w:ascii="宋体" w:hAnsi="宋体" w:eastAsia="宋体" w:cs="宋体"/>
                <w:i w:val="0"/>
                <w:iCs w:val="0"/>
                <w:color w:val="000000"/>
                <w:sz w:val="18"/>
                <w:szCs w:val="18"/>
                <w:u w:val="none"/>
              </w:rPr>
            </w:pP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424320</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424320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6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30301</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离休费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50905</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离退休费</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129612</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129612</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30302</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退休费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50905</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离退休费</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52752</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52752</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30399</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其他对个人和家庭的补助</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50999</w:t>
            </w:r>
          </w:p>
        </w:tc>
        <w:tc>
          <w:tcPr>
            <w:tcW w:w="2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其他对个人和家庭补助</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241956</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241956</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1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ascii="Verdana" w:hAnsi="Verdana" w:eastAsia="宋体" w:cs="Verdana"/>
                <w:i w:val="0"/>
                <w:iCs w:val="0"/>
                <w:color w:val="000000"/>
                <w:sz w:val="18"/>
                <w:szCs w:val="18"/>
                <w:u w:val="none"/>
              </w:rPr>
            </w:pPr>
            <w:r>
              <w:rPr>
                <w:rFonts w:hint="default" w:ascii="Verdana" w:hAnsi="Verdana" w:eastAsia="宋体" w:cs="Verdana"/>
                <w:i w:val="0"/>
                <w:iCs w:val="0"/>
                <w:color w:val="000000"/>
                <w:kern w:val="0"/>
                <w:sz w:val="18"/>
                <w:szCs w:val="18"/>
                <w:u w:val="none"/>
                <w:lang w:val="en-US" w:eastAsia="zh-CN" w:bidi="ar"/>
              </w:rPr>
              <w:t xml:space="preserve"> </w:t>
            </w:r>
          </w:p>
        </w:tc>
      </w:tr>
    </w:tbl>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r>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t>表7</w:t>
      </w:r>
    </w:p>
    <w:tbl>
      <w:tblPr>
        <w:tblStyle w:val="12"/>
        <w:tblW w:w="144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4"/>
        <w:gridCol w:w="1979"/>
        <w:gridCol w:w="3271"/>
        <w:gridCol w:w="1596"/>
        <w:gridCol w:w="1638"/>
        <w:gridCol w:w="2685"/>
        <w:gridCol w:w="24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400" w:type="dxa"/>
            <w:gridSpan w:val="7"/>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lang w:val="en-US" w:eastAsia="zh-CN" w:bidi="ar"/>
              </w:rPr>
              <w:t>2022年部门综合预算一般公共预算基本支出明细表（按功能科目分）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6034" w:type="dxa"/>
            <w:gridSpan w:val="3"/>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预算单位：中共西安市直属机关工作委员会</w:t>
            </w:r>
          </w:p>
        </w:tc>
        <w:tc>
          <w:tcPr>
            <w:tcW w:w="8366" w:type="dxa"/>
            <w:gridSpan w:val="4"/>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7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97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功能科目编码</w:t>
            </w:r>
          </w:p>
        </w:tc>
        <w:tc>
          <w:tcPr>
            <w:tcW w:w="32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功能科目名称</w:t>
            </w:r>
          </w:p>
        </w:tc>
        <w:tc>
          <w:tcPr>
            <w:tcW w:w="15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6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人员经费支出</w:t>
            </w:r>
          </w:p>
        </w:tc>
        <w:tc>
          <w:tcPr>
            <w:tcW w:w="26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公用经费支出</w:t>
            </w:r>
          </w:p>
        </w:tc>
        <w:tc>
          <w:tcPr>
            <w:tcW w:w="24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9648231.94</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9031046.67</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617185.27</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一般公共服务支出</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7169778.12</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6552592.85</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617185.27</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20131</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党委办公厅(室)及相关机构事务</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7169778.12</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6552592.85</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617185.27</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2013101</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行政运行</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7169778.12</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6552592.85</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617185.27</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2013102</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一般行政管理事务</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2013105</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专项业务</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205</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教育支出</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20508</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进修及培训</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2050803</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培训支出</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社会保障和就业支出</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988668.08</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988668.08</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20805</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行政事业单位养老支出</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981523.39</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981523.39</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2080501</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行政单位离退休</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2080505</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机关事业单位基本养老保险缴费支出</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654348.91</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654348.91</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2080506</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机关事业单位职业年金缴费支出</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327174.48</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327174.48</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20899</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其他社会保障和就业支出</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7144.69</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7144.69</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2089999</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其他社会保障和就业支出</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7144.69</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7144.69</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卫生健康支出</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394680.27</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394680.27</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21011</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行政事业单位医疗</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394680.27</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394680.27</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2101101</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行政单位医疗</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296994.2</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296994.2</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2101103</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公务员医疗补助</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97686.07</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97686.07</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住房保障支出</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1095105.47</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1095105.47</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22102</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住房改革支出</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1095105.47</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1095105.47</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2210201</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住房公积金</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591852.71</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591852.71</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2210203</w:t>
            </w:r>
          </w:p>
        </w:tc>
        <w:tc>
          <w:tcPr>
            <w:tcW w:w="3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购房补贴</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503252.76</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503252.76</w:t>
            </w:r>
          </w:p>
        </w:tc>
        <w:tc>
          <w:tcPr>
            <w:tcW w:w="268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2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bl>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r>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t>表8</w:t>
      </w:r>
    </w:p>
    <w:tbl>
      <w:tblPr>
        <w:tblStyle w:val="12"/>
        <w:tblW w:w="144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9"/>
        <w:gridCol w:w="1139"/>
        <w:gridCol w:w="3081"/>
        <w:gridCol w:w="915"/>
        <w:gridCol w:w="2640"/>
        <w:gridCol w:w="1545"/>
        <w:gridCol w:w="1575"/>
        <w:gridCol w:w="1425"/>
        <w:gridCol w:w="16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14460" w:type="dxa"/>
            <w:gridSpan w:val="9"/>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lang w:val="en-US" w:eastAsia="zh-CN" w:bidi="ar"/>
              </w:rPr>
              <w:t>2022年部门综合预算一般公共预算基本支出明细表</w:t>
            </w:r>
            <w:r>
              <w:rPr>
                <w:rFonts w:hint="eastAsia" w:ascii="黑体" w:hAnsi="宋体" w:eastAsia="黑体" w:cs="黑体"/>
                <w:i w:val="0"/>
                <w:iCs w:val="0"/>
                <w:color w:val="000000"/>
                <w:kern w:val="0"/>
                <w:sz w:val="40"/>
                <w:szCs w:val="40"/>
                <w:u w:val="none"/>
                <w:lang w:val="en-US" w:eastAsia="zh-CN" w:bidi="ar"/>
              </w:rPr>
              <w:br w:type="textWrapping"/>
            </w:r>
            <w:r>
              <w:rPr>
                <w:rFonts w:hint="eastAsia" w:ascii="黑体" w:hAnsi="宋体" w:eastAsia="黑体" w:cs="黑体"/>
                <w:i w:val="0"/>
                <w:iCs w:val="0"/>
                <w:color w:val="000000"/>
                <w:kern w:val="0"/>
                <w:sz w:val="40"/>
                <w:szCs w:val="40"/>
                <w:u w:val="none"/>
                <w:lang w:val="en-US" w:eastAsia="zh-CN" w:bidi="ar"/>
              </w:rPr>
              <w:t>（按支出经济分类科目-不含上年结转）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gridSpan w:val="4"/>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预算单位：中共西安市直属机关工作委员会</w:t>
            </w:r>
          </w:p>
        </w:tc>
        <w:tc>
          <w:tcPr>
            <w:tcW w:w="8846" w:type="dxa"/>
            <w:gridSpan w:val="5"/>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4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1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部门经济科目编码</w:t>
            </w:r>
          </w:p>
        </w:tc>
        <w:tc>
          <w:tcPr>
            <w:tcW w:w="30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部门经济科目名称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政府经济科目编码</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政府经济科目名称</w:t>
            </w:r>
          </w:p>
        </w:tc>
        <w:tc>
          <w:tcPr>
            <w:tcW w:w="15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5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人员经费支出</w:t>
            </w:r>
          </w:p>
        </w:tc>
        <w:tc>
          <w:tcPr>
            <w:tcW w:w="14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公用经费支出</w:t>
            </w:r>
          </w:p>
        </w:tc>
        <w:tc>
          <w:tcPr>
            <w:tcW w:w="16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9648231.94</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9031046.67</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617185.27</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工资福利支出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8113688.67</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8113688.67</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基本工资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工资奖金津补贴</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2296198.8</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2296198.8</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津贴补贴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工资奖金津补贴</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2612288.81</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2612288.81</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奖金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工资奖金津补贴</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1230000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1230000</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奖金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50905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离退休费</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机关事业单位基本养老保险缴费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社会保障缴费</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654348.91</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654348.91</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职业年金缴费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社会保障缴费</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327174.48</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327174.48</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职工基本医疗保险缴费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社会保障缴费</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296994.2</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296994.2</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公务员医疗补助缴费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社会保障缴费</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97686.07</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97686.07</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其他社会保障缴费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社会保障缴费</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7144.69</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7144.69</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住房公积金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住房公积金</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591852.71</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591852.71</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商品和服务支出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1110223.27</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493038</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617185.27</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办公经费</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448000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448000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30211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差旅费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办公经费</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40000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40000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30216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培训费</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30226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劳务费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委托业务费</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45000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45000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30228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工会经费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办公经费</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59185.27</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59185.27</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30231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公务用车运行维护费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公务用车运行维护费</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25000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25000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30239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其他交通费用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办公经费</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493038</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493038</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对个人和家庭的补助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424320</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424320</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30301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离休费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50905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离退休费</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129612</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129612</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退休费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50905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离退休费</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52752</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52752</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30399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其他对个人和家庭的补助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50999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其他对个人和家庭补助</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241956</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241956</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bl>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r>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t>表9</w:t>
      </w:r>
    </w:p>
    <w:tbl>
      <w:tblPr>
        <w:tblStyle w:val="12"/>
        <w:tblW w:w="143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17"/>
        <w:gridCol w:w="1243"/>
        <w:gridCol w:w="911"/>
        <w:gridCol w:w="1741"/>
        <w:gridCol w:w="919"/>
        <w:gridCol w:w="1666"/>
        <w:gridCol w:w="919"/>
        <w:gridCol w:w="1513"/>
        <w:gridCol w:w="51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4350"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lang w:val="en-US" w:eastAsia="zh-CN" w:bidi="ar"/>
              </w:rPr>
              <w:t>2022年部门综合预算政府性基金收支表（不含上年结转）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4212" w:type="dxa"/>
            <w:gridSpan w:val="4"/>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0138" w:type="dxa"/>
            <w:gridSpan w:val="5"/>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1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                   入</w:t>
            </w:r>
          </w:p>
        </w:tc>
        <w:tc>
          <w:tcPr>
            <w:tcW w:w="11879"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2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    目</w:t>
            </w:r>
          </w:p>
        </w:tc>
        <w:tc>
          <w:tcPr>
            <w:tcW w:w="9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预算数</w:t>
            </w:r>
          </w:p>
        </w:tc>
        <w:tc>
          <w:tcPr>
            <w:tcW w:w="17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支出功能分类科目（按大类）</w:t>
            </w:r>
          </w:p>
        </w:tc>
        <w:tc>
          <w:tcPr>
            <w:tcW w:w="9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预算数</w:t>
            </w:r>
          </w:p>
        </w:tc>
        <w:tc>
          <w:tcPr>
            <w:tcW w:w="16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部门预算支出经济分类科目（按大类）</w:t>
            </w:r>
          </w:p>
        </w:tc>
        <w:tc>
          <w:tcPr>
            <w:tcW w:w="9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预算数</w:t>
            </w:r>
          </w:p>
        </w:tc>
        <w:tc>
          <w:tcPr>
            <w:tcW w:w="151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政府预算支出经济分类科目（按大类）</w:t>
            </w:r>
          </w:p>
        </w:tc>
        <w:tc>
          <w:tcPr>
            <w:tcW w:w="51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1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Verdana" w:hAnsi="Verdana" w:eastAsia="宋体" w:cs="Verdana"/>
                <w:i w:val="0"/>
                <w:iCs w:val="0"/>
                <w:color w:val="000000"/>
                <w:sz w:val="18"/>
                <w:szCs w:val="18"/>
                <w:u w:val="none"/>
              </w:rPr>
            </w:pPr>
          </w:p>
        </w:tc>
        <w:tc>
          <w:tcPr>
            <w:tcW w:w="124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Verdana" w:hAnsi="Verdana" w:eastAsia="宋体" w:cs="Verdana"/>
                <w:i w:val="0"/>
                <w:iCs w:val="0"/>
                <w:color w:val="000000"/>
                <w:sz w:val="18"/>
                <w:szCs w:val="18"/>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right"/>
              <w:rPr>
                <w:rFonts w:hint="default" w:ascii="Verdana" w:hAnsi="Verdana" w:eastAsia="宋体" w:cs="Verdana"/>
                <w:i w:val="0"/>
                <w:iCs w:val="0"/>
                <w:color w:val="000000"/>
                <w:sz w:val="18"/>
                <w:szCs w:val="18"/>
                <w:u w:val="none"/>
              </w:rPr>
            </w:pP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Verdana" w:hAnsi="Verdana" w:eastAsia="宋体" w:cs="Verdana"/>
                <w:i w:val="0"/>
                <w:iCs w:val="0"/>
                <w:color w:val="000000"/>
                <w:sz w:val="18"/>
                <w:szCs w:val="18"/>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right"/>
            </w:pP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Verdana" w:hAnsi="Verdana" w:eastAsia="宋体" w:cs="Verdana"/>
                <w:i w:val="0"/>
                <w:iCs w:val="0"/>
                <w:color w:val="000000"/>
                <w:sz w:val="18"/>
                <w:szCs w:val="18"/>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right"/>
              <w:rPr>
                <w:rFonts w:hint="default" w:ascii="Verdana" w:hAnsi="Verdana" w:eastAsia="宋体" w:cs="Verdana"/>
                <w:i w:val="0"/>
                <w:iCs w:val="0"/>
                <w:color w:val="000000"/>
                <w:sz w:val="18"/>
                <w:szCs w:val="18"/>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512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right"/>
              <w:rPr>
                <w:rFonts w:hint="default" w:ascii="Verdana" w:hAnsi="Verdana" w:eastAsia="宋体" w:cs="Verdan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2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4"/>
                <w:szCs w:val="24"/>
                <w:u w:val="none"/>
              </w:rPr>
            </w:pP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pP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4"/>
                <w:szCs w:val="24"/>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5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2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9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4"/>
                <w:szCs w:val="24"/>
                <w:u w:val="none"/>
              </w:rPr>
            </w:pPr>
          </w:p>
        </w:tc>
        <w:tc>
          <w:tcPr>
            <w:tcW w:w="1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pPr>
          </w:p>
        </w:tc>
        <w:tc>
          <w:tcPr>
            <w:tcW w:w="1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4"/>
                <w:szCs w:val="24"/>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5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4"/>
                <w:szCs w:val="24"/>
                <w:u w:val="none"/>
              </w:rPr>
            </w:pPr>
          </w:p>
        </w:tc>
      </w:tr>
    </w:tbl>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r>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t>表10</w:t>
      </w:r>
    </w:p>
    <w:tbl>
      <w:tblPr>
        <w:tblStyle w:val="12"/>
        <w:tblW w:w="143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3"/>
        <w:gridCol w:w="2817"/>
        <w:gridCol w:w="4740"/>
        <w:gridCol w:w="1460"/>
        <w:gridCol w:w="44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4360" w:type="dxa"/>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lang w:val="en-US" w:eastAsia="zh-CN" w:bidi="ar"/>
              </w:rPr>
              <w:t>2022年部门综合预算专项业务经费支出表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690" w:type="dxa"/>
            <w:gridSpan w:val="2"/>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预算单位：中共西安市直属机关工作委员会</w:t>
            </w:r>
          </w:p>
        </w:tc>
        <w:tc>
          <w:tcPr>
            <w:tcW w:w="10670" w:type="dxa"/>
            <w:gridSpan w:val="3"/>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8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28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单位编码</w:t>
            </w:r>
          </w:p>
        </w:tc>
        <w:tc>
          <w:tcPr>
            <w:tcW w:w="47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单位（项目）名称</w:t>
            </w:r>
          </w:p>
        </w:tc>
        <w:tc>
          <w:tcPr>
            <w:tcW w:w="14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项目金额</w:t>
            </w:r>
          </w:p>
        </w:tc>
        <w:tc>
          <w:tcPr>
            <w:tcW w:w="44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项目简介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4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2400000</w:t>
            </w:r>
          </w:p>
        </w:tc>
        <w:tc>
          <w:tcPr>
            <w:tcW w:w="4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全额</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2400000</w:t>
            </w:r>
          </w:p>
        </w:tc>
        <w:tc>
          <w:tcPr>
            <w:tcW w:w="4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110001</w:t>
            </w:r>
          </w:p>
        </w:tc>
        <w:tc>
          <w:tcPr>
            <w:tcW w:w="4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中共西安市直属机关工作委员会</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2400000</w:t>
            </w:r>
          </w:p>
        </w:tc>
        <w:tc>
          <w:tcPr>
            <w:tcW w:w="4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w:t>
            </w:r>
          </w:p>
        </w:tc>
        <w:tc>
          <w:tcPr>
            <w:tcW w:w="4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专用项目</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2400000</w:t>
            </w:r>
          </w:p>
        </w:tc>
        <w:tc>
          <w:tcPr>
            <w:tcW w:w="4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w:t>
            </w:r>
          </w:p>
        </w:tc>
        <w:tc>
          <w:tcPr>
            <w:tcW w:w="4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专用项目</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800000</w:t>
            </w:r>
          </w:p>
        </w:tc>
        <w:tc>
          <w:tcPr>
            <w:tcW w:w="4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2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w:t>
            </w:r>
          </w:p>
        </w:tc>
        <w:tc>
          <w:tcPr>
            <w:tcW w:w="4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机关党组织活动经费</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800000</w:t>
            </w:r>
          </w:p>
        </w:tc>
        <w:tc>
          <w:tcPr>
            <w:tcW w:w="4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2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w:t>
            </w:r>
          </w:p>
        </w:tc>
        <w:tc>
          <w:tcPr>
            <w:tcW w:w="4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其他履职尽责专项业务费</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1600000</w:t>
            </w:r>
          </w:p>
        </w:tc>
        <w:tc>
          <w:tcPr>
            <w:tcW w:w="4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2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w:t>
            </w:r>
          </w:p>
        </w:tc>
        <w:tc>
          <w:tcPr>
            <w:tcW w:w="4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党校经费</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800000</w:t>
            </w:r>
          </w:p>
        </w:tc>
        <w:tc>
          <w:tcPr>
            <w:tcW w:w="4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2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w:t>
            </w:r>
          </w:p>
        </w:tc>
        <w:tc>
          <w:tcPr>
            <w:tcW w:w="4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群团活动经费</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800000</w:t>
            </w:r>
          </w:p>
        </w:tc>
        <w:tc>
          <w:tcPr>
            <w:tcW w:w="4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r>
    </w:tbl>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r>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t>表11</w:t>
      </w:r>
    </w:p>
    <w:tbl>
      <w:tblPr>
        <w:tblStyle w:val="12"/>
        <w:tblW w:w="143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05"/>
        <w:gridCol w:w="723"/>
        <w:gridCol w:w="1141"/>
        <w:gridCol w:w="917"/>
        <w:gridCol w:w="704"/>
        <w:gridCol w:w="786"/>
        <w:gridCol w:w="795"/>
        <w:gridCol w:w="1121"/>
        <w:gridCol w:w="876"/>
        <w:gridCol w:w="897"/>
        <w:gridCol w:w="754"/>
        <w:gridCol w:w="52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4300" w:type="dxa"/>
            <w:gridSpan w:val="1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lang w:val="en-US" w:eastAsia="zh-CN" w:bidi="ar"/>
              </w:rPr>
              <w:t>2022部门综合预算财政拨款结转资金支出表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4576" w:type="dxa"/>
            <w:gridSpan w:val="6"/>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9724" w:type="dxa"/>
            <w:gridSpan w:val="6"/>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7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预算单位代码</w:t>
            </w:r>
          </w:p>
        </w:tc>
        <w:tc>
          <w:tcPr>
            <w:tcW w:w="11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预算单位名称</w:t>
            </w:r>
          </w:p>
        </w:tc>
        <w:tc>
          <w:tcPr>
            <w:tcW w:w="9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预算项目名称</w:t>
            </w:r>
          </w:p>
        </w:tc>
        <w:tc>
          <w:tcPr>
            <w:tcW w:w="7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金额</w:t>
            </w:r>
          </w:p>
        </w:tc>
        <w:tc>
          <w:tcPr>
            <w:tcW w:w="7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功能分类科目代码</w:t>
            </w:r>
          </w:p>
        </w:tc>
        <w:tc>
          <w:tcPr>
            <w:tcW w:w="7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功能分类科目名称</w:t>
            </w:r>
          </w:p>
        </w:tc>
        <w:tc>
          <w:tcPr>
            <w:tcW w:w="11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政府经济分类科目代码</w:t>
            </w:r>
          </w:p>
        </w:tc>
        <w:tc>
          <w:tcPr>
            <w:tcW w:w="8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政府经济分类科目名称</w:t>
            </w:r>
          </w:p>
        </w:tc>
        <w:tc>
          <w:tcPr>
            <w:tcW w:w="8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项目类别</w:t>
            </w:r>
          </w:p>
        </w:tc>
        <w:tc>
          <w:tcPr>
            <w:tcW w:w="75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资金性质</w:t>
            </w:r>
          </w:p>
        </w:tc>
        <w:tc>
          <w:tcPr>
            <w:tcW w:w="52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5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4"/>
                <w:szCs w:val="24"/>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pP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4"/>
                <w:szCs w:val="24"/>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4"/>
                <w:szCs w:val="24"/>
                <w:u w:val="none"/>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5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4"/>
                <w:szCs w:val="24"/>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pP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4"/>
                <w:szCs w:val="24"/>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4"/>
                <w:szCs w:val="24"/>
                <w:u w:val="none"/>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tc>
        <w:tc>
          <w:tcPr>
            <w:tcW w:w="52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4"/>
                <w:szCs w:val="24"/>
                <w:u w:val="none"/>
              </w:rPr>
            </w:pPr>
          </w:p>
        </w:tc>
      </w:tr>
    </w:tbl>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r>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t>表12</w:t>
      </w:r>
    </w:p>
    <w:tbl>
      <w:tblPr>
        <w:tblStyle w:val="12"/>
        <w:tblW w:w="143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6"/>
        <w:gridCol w:w="486"/>
        <w:gridCol w:w="419"/>
        <w:gridCol w:w="396"/>
        <w:gridCol w:w="1139"/>
        <w:gridCol w:w="2736"/>
        <w:gridCol w:w="2068"/>
        <w:gridCol w:w="880"/>
        <w:gridCol w:w="630"/>
        <w:gridCol w:w="620"/>
        <w:gridCol w:w="560"/>
        <w:gridCol w:w="550"/>
        <w:gridCol w:w="570"/>
        <w:gridCol w:w="600"/>
        <w:gridCol w:w="1080"/>
        <w:gridCol w:w="11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14340" w:type="dxa"/>
            <w:gridSpan w:val="16"/>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lang w:val="en-US" w:eastAsia="zh-CN" w:bidi="ar"/>
              </w:rPr>
              <w:t>2022年部门综合预算政府采购（资产配置、购买服务）</w:t>
            </w:r>
            <w:r>
              <w:rPr>
                <w:rFonts w:hint="eastAsia" w:ascii="黑体" w:hAnsi="宋体" w:eastAsia="黑体" w:cs="黑体"/>
                <w:i w:val="0"/>
                <w:iCs w:val="0"/>
                <w:color w:val="000000"/>
                <w:kern w:val="0"/>
                <w:sz w:val="40"/>
                <w:szCs w:val="40"/>
                <w:u w:val="none"/>
                <w:lang w:val="en-US" w:eastAsia="zh-CN" w:bidi="ar"/>
              </w:rPr>
              <w:br w:type="textWrapping"/>
            </w:r>
            <w:r>
              <w:rPr>
                <w:rFonts w:hint="eastAsia" w:ascii="黑体" w:hAnsi="宋体" w:eastAsia="黑体" w:cs="黑体"/>
                <w:i w:val="0"/>
                <w:iCs w:val="0"/>
                <w:color w:val="000000"/>
                <w:kern w:val="0"/>
                <w:sz w:val="40"/>
                <w:szCs w:val="40"/>
                <w:u w:val="none"/>
                <w:lang w:val="en-US" w:eastAsia="zh-CN" w:bidi="ar"/>
              </w:rPr>
              <w:t>预算表（不含上年结转）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8600"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预算单位：中共西安市直属机关工作委员会</w:t>
            </w:r>
          </w:p>
        </w:tc>
        <w:tc>
          <w:tcPr>
            <w:tcW w:w="5740" w:type="dxa"/>
            <w:gridSpan w:val="8"/>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7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30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科目编码</w:t>
            </w:r>
          </w:p>
        </w:tc>
        <w:tc>
          <w:tcPr>
            <w:tcW w:w="113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单位编码</w:t>
            </w:r>
          </w:p>
        </w:tc>
        <w:tc>
          <w:tcPr>
            <w:tcW w:w="273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采购项目</w:t>
            </w:r>
          </w:p>
        </w:tc>
        <w:tc>
          <w:tcPr>
            <w:tcW w:w="206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采购目录</w:t>
            </w:r>
          </w:p>
        </w:tc>
        <w:tc>
          <w:tcPr>
            <w:tcW w:w="8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购买服务内容</w:t>
            </w:r>
          </w:p>
        </w:tc>
        <w:tc>
          <w:tcPr>
            <w:tcW w:w="63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规格型号</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部门预算支出经济科目编码</w:t>
            </w:r>
          </w:p>
        </w:tc>
        <w:tc>
          <w:tcPr>
            <w:tcW w:w="117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政府预算支出经济分类科目编码</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预算金额</w:t>
            </w:r>
          </w:p>
        </w:tc>
        <w:tc>
          <w:tcPr>
            <w:tcW w:w="113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4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类</w:t>
            </w:r>
          </w:p>
        </w:tc>
        <w:tc>
          <w:tcPr>
            <w:tcW w:w="41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款</w:t>
            </w:r>
          </w:p>
        </w:tc>
        <w:tc>
          <w:tcPr>
            <w:tcW w:w="3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73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06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8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类</w:t>
            </w:r>
          </w:p>
        </w:tc>
        <w:tc>
          <w:tcPr>
            <w:tcW w:w="5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款</w:t>
            </w:r>
          </w:p>
        </w:tc>
        <w:tc>
          <w:tcPr>
            <w:tcW w:w="5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类</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款</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740000</w:t>
            </w:r>
          </w:p>
        </w:tc>
        <w:tc>
          <w:tcPr>
            <w:tcW w:w="11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205</w:t>
            </w:r>
          </w:p>
        </w:tc>
        <w:tc>
          <w:tcPr>
            <w:tcW w:w="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08</w:t>
            </w:r>
          </w:p>
        </w:tc>
        <w:tc>
          <w:tcPr>
            <w:tcW w:w="3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w:t>
            </w:r>
          </w:p>
        </w:tc>
        <w:tc>
          <w:tcPr>
            <w:tcW w:w="11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全额</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740000</w:t>
            </w:r>
          </w:p>
        </w:tc>
        <w:tc>
          <w:tcPr>
            <w:tcW w:w="11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205</w:t>
            </w:r>
          </w:p>
        </w:tc>
        <w:tc>
          <w:tcPr>
            <w:tcW w:w="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08</w:t>
            </w:r>
          </w:p>
        </w:tc>
        <w:tc>
          <w:tcPr>
            <w:tcW w:w="3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w:t>
            </w:r>
          </w:p>
        </w:tc>
        <w:tc>
          <w:tcPr>
            <w:tcW w:w="11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110001</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中共西安市直属机关工作委员会</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740000</w:t>
            </w:r>
          </w:p>
        </w:tc>
        <w:tc>
          <w:tcPr>
            <w:tcW w:w="11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205</w:t>
            </w:r>
          </w:p>
        </w:tc>
        <w:tc>
          <w:tcPr>
            <w:tcW w:w="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08</w:t>
            </w:r>
          </w:p>
        </w:tc>
        <w:tc>
          <w:tcPr>
            <w:tcW w:w="3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w:t>
            </w:r>
          </w:p>
        </w:tc>
        <w:tc>
          <w:tcPr>
            <w:tcW w:w="11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党校经费</w:t>
            </w:r>
          </w:p>
        </w:tc>
        <w:tc>
          <w:tcPr>
            <w:tcW w:w="2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C060102一般会议服务</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740000</w:t>
            </w:r>
          </w:p>
        </w:tc>
        <w:tc>
          <w:tcPr>
            <w:tcW w:w="11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p>
        </w:tc>
      </w:tr>
    </w:tbl>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r>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t>表13</w:t>
      </w:r>
    </w:p>
    <w:tbl>
      <w:tblPr>
        <w:tblStyle w:val="12"/>
        <w:tblpPr w:leftFromText="180" w:rightFromText="180" w:vertAnchor="text" w:horzAnchor="page" w:tblpX="477" w:tblpY="628"/>
        <w:tblOverlap w:val="never"/>
        <w:tblW w:w="1622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44"/>
        <w:gridCol w:w="764"/>
        <w:gridCol w:w="1132"/>
        <w:gridCol w:w="641"/>
        <w:gridCol w:w="518"/>
        <w:gridCol w:w="423"/>
        <w:gridCol w:w="545"/>
        <w:gridCol w:w="368"/>
        <w:gridCol w:w="368"/>
        <w:gridCol w:w="450"/>
        <w:gridCol w:w="450"/>
        <w:gridCol w:w="641"/>
        <w:gridCol w:w="709"/>
        <w:gridCol w:w="587"/>
        <w:gridCol w:w="373"/>
        <w:gridCol w:w="396"/>
        <w:gridCol w:w="586"/>
        <w:gridCol w:w="450"/>
        <w:gridCol w:w="628"/>
        <w:gridCol w:w="381"/>
        <w:gridCol w:w="669"/>
        <w:gridCol w:w="654"/>
        <w:gridCol w:w="627"/>
        <w:gridCol w:w="336"/>
        <w:gridCol w:w="605"/>
        <w:gridCol w:w="608"/>
        <w:gridCol w:w="314"/>
        <w:gridCol w:w="606"/>
        <w:gridCol w:w="286"/>
        <w:gridCol w:w="6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1" w:hRule="atLeast"/>
        </w:trPr>
        <w:tc>
          <w:tcPr>
            <w:tcW w:w="16227" w:type="dxa"/>
            <w:gridSpan w:val="30"/>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lang w:val="en-US" w:eastAsia="zh-CN" w:bidi="ar"/>
              </w:rPr>
              <w:t>2022年部门综合预算一般公共预算拨款“三公”经费、</w:t>
            </w:r>
            <w:r>
              <w:rPr>
                <w:rFonts w:hint="eastAsia" w:ascii="黑体" w:hAnsi="宋体" w:eastAsia="黑体" w:cs="黑体"/>
                <w:i w:val="0"/>
                <w:iCs w:val="0"/>
                <w:color w:val="000000"/>
                <w:kern w:val="0"/>
                <w:sz w:val="40"/>
                <w:szCs w:val="40"/>
                <w:u w:val="none"/>
                <w:lang w:val="en-US" w:eastAsia="zh-CN" w:bidi="ar"/>
              </w:rPr>
              <w:br w:type="textWrapping"/>
            </w:r>
            <w:r>
              <w:rPr>
                <w:rFonts w:hint="eastAsia" w:ascii="黑体" w:hAnsi="宋体" w:eastAsia="黑体" w:cs="黑体"/>
                <w:i w:val="0"/>
                <w:iCs w:val="0"/>
                <w:color w:val="000000"/>
                <w:kern w:val="0"/>
                <w:sz w:val="40"/>
                <w:szCs w:val="40"/>
                <w:u w:val="none"/>
                <w:lang w:val="en-US" w:eastAsia="zh-CN" w:bidi="ar"/>
              </w:rPr>
              <w:t>会议费、培训费表（不含上年结转）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trPr>
        <w:tc>
          <w:tcPr>
            <w:tcW w:w="4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sz w:val="32"/>
                <w:szCs w:val="32"/>
                <w:u w:val="none"/>
              </w:rPr>
            </w:pPr>
          </w:p>
        </w:tc>
        <w:tc>
          <w:tcPr>
            <w:tcW w:w="15783" w:type="dxa"/>
            <w:gridSpan w:val="29"/>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413" w:type="dxa"/>
            <w:gridSpan w:val="15"/>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预算单位：中共西安市直属机关工作委员会</w:t>
            </w:r>
          </w:p>
        </w:tc>
        <w:tc>
          <w:tcPr>
            <w:tcW w:w="7814" w:type="dxa"/>
            <w:gridSpan w:val="15"/>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4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76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单位</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编码</w:t>
            </w:r>
          </w:p>
        </w:tc>
        <w:tc>
          <w:tcPr>
            <w:tcW w:w="113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单位名称</w:t>
            </w:r>
          </w:p>
        </w:tc>
        <w:tc>
          <w:tcPr>
            <w:tcW w:w="4404"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w:t>
            </w:r>
          </w:p>
        </w:tc>
        <w:tc>
          <w:tcPr>
            <w:tcW w:w="4779"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w:t>
            </w:r>
          </w:p>
        </w:tc>
        <w:tc>
          <w:tcPr>
            <w:tcW w:w="4704" w:type="dxa"/>
            <w:gridSpan w:val="9"/>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增减变化情况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76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1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4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2672"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一般公共预算拨款安排的“三公”经费预算</w:t>
            </w: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会议费</w:t>
            </w:r>
          </w:p>
        </w:tc>
        <w:tc>
          <w:tcPr>
            <w:tcW w:w="64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w:t>
            </w:r>
          </w:p>
        </w:tc>
        <w:tc>
          <w:tcPr>
            <w:tcW w:w="70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3020"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一般公共预算拨款安排的“三公”经费预算</w:t>
            </w:r>
          </w:p>
        </w:tc>
        <w:tc>
          <w:tcPr>
            <w:tcW w:w="38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会议费</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w:t>
            </w:r>
          </w:p>
        </w:tc>
        <w:tc>
          <w:tcPr>
            <w:tcW w:w="65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3096"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一般公共预算拨款安排的“三公”经费预算</w:t>
            </w:r>
          </w:p>
        </w:tc>
        <w:tc>
          <w:tcPr>
            <w:tcW w:w="28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会议费</w:t>
            </w:r>
          </w:p>
        </w:tc>
        <w:tc>
          <w:tcPr>
            <w:tcW w:w="66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76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1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4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51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w:t>
            </w:r>
          </w:p>
        </w:tc>
        <w:tc>
          <w:tcPr>
            <w:tcW w:w="4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因公出国（境）费用</w:t>
            </w:r>
          </w:p>
        </w:tc>
        <w:tc>
          <w:tcPr>
            <w:tcW w:w="5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公务接待费</w:t>
            </w:r>
          </w:p>
        </w:tc>
        <w:tc>
          <w:tcPr>
            <w:tcW w:w="118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公务用车购置及运行维护费</w:t>
            </w: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4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58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w:t>
            </w:r>
          </w:p>
        </w:tc>
        <w:tc>
          <w:tcPr>
            <w:tcW w:w="37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因公出国（境）费用</w:t>
            </w:r>
          </w:p>
        </w:tc>
        <w:tc>
          <w:tcPr>
            <w:tcW w:w="39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公务接待费</w:t>
            </w:r>
          </w:p>
        </w:tc>
        <w:tc>
          <w:tcPr>
            <w:tcW w:w="1664"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公务用车购置及运行维护费</w:t>
            </w:r>
          </w:p>
        </w:tc>
        <w:tc>
          <w:tcPr>
            <w:tcW w:w="38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w:t>
            </w:r>
          </w:p>
        </w:tc>
        <w:tc>
          <w:tcPr>
            <w:tcW w:w="33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因公出国（境）费用</w:t>
            </w:r>
          </w:p>
        </w:tc>
        <w:tc>
          <w:tcPr>
            <w:tcW w:w="60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公务接待费</w:t>
            </w:r>
          </w:p>
        </w:tc>
        <w:tc>
          <w:tcPr>
            <w:tcW w:w="152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公务用车购置及运行维护费</w:t>
            </w:r>
          </w:p>
        </w:tc>
        <w:tc>
          <w:tcPr>
            <w:tcW w:w="28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0"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76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11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4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4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5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w:t>
            </w:r>
          </w:p>
        </w:tc>
        <w:tc>
          <w:tcPr>
            <w:tcW w:w="3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公务用车购置费</w:t>
            </w:r>
          </w:p>
        </w:tc>
        <w:tc>
          <w:tcPr>
            <w:tcW w:w="4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公务用车运行费</w:t>
            </w: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4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7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9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w:t>
            </w:r>
          </w:p>
        </w:tc>
        <w:tc>
          <w:tcPr>
            <w:tcW w:w="4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公务用车购置费</w:t>
            </w:r>
          </w:p>
        </w:tc>
        <w:tc>
          <w:tcPr>
            <w:tcW w:w="6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公务用车运行费</w:t>
            </w:r>
          </w:p>
        </w:tc>
        <w:tc>
          <w:tcPr>
            <w:tcW w:w="38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33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0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w:t>
            </w:r>
          </w:p>
        </w:tc>
        <w:tc>
          <w:tcPr>
            <w:tcW w:w="3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公务用车购置费</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公务用车运行费</w:t>
            </w:r>
          </w:p>
        </w:tc>
        <w:tc>
          <w:tcPr>
            <w:tcW w:w="28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3"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iCs w:val="0"/>
                <w:color w:val="000000"/>
                <w:sz w:val="18"/>
                <w:szCs w:val="18"/>
                <w:u w:val="none"/>
              </w:rPr>
            </w:pP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653000</w:t>
            </w: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3000</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3000</w:t>
            </w:r>
          </w:p>
        </w:tc>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650000</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865000</w:t>
            </w: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25000</w:t>
            </w:r>
          </w:p>
        </w:tc>
        <w:tc>
          <w:tcPr>
            <w:tcW w:w="3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3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25000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25000</w:t>
            </w:r>
          </w:p>
        </w:tc>
        <w:tc>
          <w:tcPr>
            <w:tcW w:w="38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840000</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212000</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22000</w:t>
            </w:r>
          </w:p>
        </w:tc>
        <w:tc>
          <w:tcPr>
            <w:tcW w:w="3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-3000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25000</w:t>
            </w:r>
          </w:p>
        </w:tc>
        <w:tc>
          <w:tcPr>
            <w:tcW w:w="31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25000</w:t>
            </w: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190000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中共西安市直属机关工作委员会</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653000</w:t>
            </w: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3000</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3000</w:t>
            </w:r>
          </w:p>
        </w:tc>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650000</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865000</w:t>
            </w: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25000</w:t>
            </w:r>
          </w:p>
        </w:tc>
        <w:tc>
          <w:tcPr>
            <w:tcW w:w="3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3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25000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25000</w:t>
            </w:r>
          </w:p>
        </w:tc>
        <w:tc>
          <w:tcPr>
            <w:tcW w:w="38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840000</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212000</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22000</w:t>
            </w:r>
          </w:p>
        </w:tc>
        <w:tc>
          <w:tcPr>
            <w:tcW w:w="3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-3000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25000</w:t>
            </w:r>
          </w:p>
        </w:tc>
        <w:tc>
          <w:tcPr>
            <w:tcW w:w="31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25000</w:t>
            </w: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190000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110001</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中共西安市直属机关工作委员会</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653000</w:t>
            </w:r>
          </w:p>
        </w:tc>
        <w:tc>
          <w:tcPr>
            <w:tcW w:w="5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3000</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3000</w:t>
            </w:r>
          </w:p>
        </w:tc>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650000</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865000</w:t>
            </w:r>
          </w:p>
        </w:tc>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25000</w:t>
            </w:r>
          </w:p>
        </w:tc>
        <w:tc>
          <w:tcPr>
            <w:tcW w:w="3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39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25000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6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25000</w:t>
            </w:r>
          </w:p>
        </w:tc>
        <w:tc>
          <w:tcPr>
            <w:tcW w:w="38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840000</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212000</w:t>
            </w:r>
          </w:p>
        </w:tc>
        <w:tc>
          <w:tcPr>
            <w:tcW w:w="62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22000</w:t>
            </w:r>
          </w:p>
        </w:tc>
        <w:tc>
          <w:tcPr>
            <w:tcW w:w="3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-3000</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25000</w:t>
            </w:r>
          </w:p>
        </w:tc>
        <w:tc>
          <w:tcPr>
            <w:tcW w:w="31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25000</w:t>
            </w: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0</w:t>
            </w:r>
          </w:p>
        </w:tc>
        <w:tc>
          <w:tcPr>
            <w:tcW w:w="6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1"/>
                <w:szCs w:val="11"/>
                <w:u w:val="none"/>
              </w:rPr>
            </w:pPr>
            <w:r>
              <w:rPr>
                <w:rFonts w:hint="default" w:ascii="Verdana" w:hAnsi="Verdana" w:eastAsia="宋体" w:cs="Verdana"/>
                <w:i w:val="0"/>
                <w:iCs w:val="0"/>
                <w:color w:val="000000"/>
                <w:kern w:val="0"/>
                <w:sz w:val="11"/>
                <w:szCs w:val="11"/>
                <w:u w:val="none"/>
                <w:lang w:val="en-US" w:eastAsia="zh-CN" w:bidi="ar"/>
              </w:rPr>
              <w:t>190000</w:t>
            </w:r>
          </w:p>
        </w:tc>
      </w:tr>
    </w:tbl>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sectPr>
          <w:pgSz w:w="16838" w:h="11906" w:orient="landscape"/>
          <w:pgMar w:top="1800" w:right="1440" w:bottom="1800" w:left="1440" w:header="851" w:footer="992" w:gutter="0"/>
          <w:cols w:space="425" w:num="1"/>
          <w:docGrid w:type="lines" w:linePitch="312" w:charSpace="0"/>
        </w:sect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r>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t>表14</w:t>
      </w:r>
    </w:p>
    <w:tbl>
      <w:tblPr>
        <w:tblStyle w:val="12"/>
        <w:tblpPr w:leftFromText="180" w:rightFromText="180" w:vertAnchor="text" w:horzAnchor="page" w:tblpX="1533" w:tblpY="253"/>
        <w:tblOverlap w:val="never"/>
        <w:tblW w:w="950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84"/>
        <w:gridCol w:w="1504"/>
        <w:gridCol w:w="1923"/>
        <w:gridCol w:w="3050"/>
        <w:gridCol w:w="21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4" w:hRule="atLeast"/>
        </w:trPr>
        <w:tc>
          <w:tcPr>
            <w:tcW w:w="9507" w:type="dxa"/>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2022年部门专项业务经费绩效目标表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专项（项目）名称</w:t>
            </w:r>
          </w:p>
        </w:tc>
        <w:tc>
          <w:tcPr>
            <w:tcW w:w="711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其他履职尽责专项业务经费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711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中共西安市直属机关工作委员会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8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资金金额</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497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实施期资金总额</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7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其中：财政拨款</w:t>
            </w:r>
            <w:bookmarkStart w:id="0" w:name="_GoBack"/>
            <w:bookmarkEnd w:id="0"/>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3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97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标</w:t>
            </w:r>
          </w:p>
        </w:tc>
        <w:tc>
          <w:tcPr>
            <w:tcW w:w="862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目标1.抓好市直机关党建工作，抓好市直机关党组织落实“三会一课”等制度情况督促检查。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2.对机关党组织书记的考核管理，抓好市直机关党组织书记专职副书记任前谈话。</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3.召开市直机关党建经验交流会，编发《西安机关党建》6期。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4.组织学习宣传贯彻党的十九大及习近平总书记系列重要讲话精神，举办“机关大讲堂”，对市直机关各单位党委(党组)中心组学习进行旁听督查。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5.持续抓好机关作风建设，深入开展培育和行社会主义核心价值观宣传教育活动，指导市级机关创建全国、省市级文明单位工作:做好市直文明机关、文叨处室推荐考核工作。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标</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3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指标内容</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92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指标1：编发《西安机关党建》6期</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指标2：举办机关大讲堂</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指标1：宣传覆盖率</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市级机关100%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指标2：党建工作指导</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指标1：人均培训成本</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指标2：人均工会经费</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92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指标1：推动党务干部培养机制</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落实党建工作条例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指标2：推动党建人才培养</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落实相关政策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指标1：人员经费稳定</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19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满意度指标</w:t>
            </w: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指标1：服务对象满意度</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04"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9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050"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bl>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r>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t>表15</w:t>
      </w:r>
    </w:p>
    <w:tbl>
      <w:tblPr>
        <w:tblStyle w:val="12"/>
        <w:tblpPr w:leftFromText="180" w:rightFromText="180" w:vertAnchor="text" w:horzAnchor="page" w:tblpX="1349" w:tblpY="228"/>
        <w:tblOverlap w:val="never"/>
        <w:tblW w:w="97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9"/>
        <w:gridCol w:w="1122"/>
        <w:gridCol w:w="2654"/>
        <w:gridCol w:w="3266"/>
        <w:gridCol w:w="1500"/>
        <w:gridCol w:w="6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750" w:type="dxa"/>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2022年部门整体支出绩效目标表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6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部门（单位）名称</w:t>
            </w:r>
          </w:p>
        </w:tc>
        <w:tc>
          <w:tcPr>
            <w:tcW w:w="808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中共西安市直属机关工作委员会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5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任务</w:t>
            </w:r>
          </w:p>
        </w:tc>
        <w:tc>
          <w:tcPr>
            <w:tcW w:w="112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任务名称</w:t>
            </w:r>
          </w:p>
        </w:tc>
        <w:tc>
          <w:tcPr>
            <w:tcW w:w="265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主要内容</w:t>
            </w:r>
          </w:p>
        </w:tc>
        <w:tc>
          <w:tcPr>
            <w:tcW w:w="54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预算金额（万元）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财政拨款</w:t>
            </w: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任务1</w:t>
            </w:r>
          </w:p>
        </w:tc>
        <w:tc>
          <w:tcPr>
            <w:tcW w:w="26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组织机关党组织活动</w:t>
            </w: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任务2</w:t>
            </w:r>
          </w:p>
        </w:tc>
        <w:tc>
          <w:tcPr>
            <w:tcW w:w="26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组织党务干部及支部书记轮训</w:t>
            </w: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任务3</w:t>
            </w:r>
          </w:p>
        </w:tc>
        <w:tc>
          <w:tcPr>
            <w:tcW w:w="26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开展市级机关工会活动</w:t>
            </w: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任务4</w:t>
            </w:r>
          </w:p>
        </w:tc>
        <w:tc>
          <w:tcPr>
            <w:tcW w:w="26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人员及公用经费</w:t>
            </w: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964.82</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964.82</w:t>
            </w: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7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金额合计</w:t>
            </w: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1204.82</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1204.82</w:t>
            </w:r>
          </w:p>
        </w:tc>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0" w:hRule="atLeast"/>
        </w:trPr>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总体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目标</w:t>
            </w:r>
          </w:p>
        </w:tc>
        <w:tc>
          <w:tcPr>
            <w:tcW w:w="92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目标1.抓好市直机关党建工作，抓好市直机关党组织落实“三会一课”等制度情况督促检查。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2.对机关党组织书记的考核管理，抓好市直机关党组织书记专职副书记任前谈话。</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3.召开市直机关党建经验交流会，编发《西安机关党建》6期。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4.组织学习宣传贯彻党的十九大及习近平总书记系列重要讲话精神，举办“机关大讲堂”，对市直机关各单位党委(党组)中心组学习进行旁听督查。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5.持续抓好机关作风建设，深入开展培育和行社会主义核心价值观宣传教育活动，指导市级机关创建全国、省市级文明单位工作:做好市直文明机关、文叨处室推荐考核工作。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6.组织专职党务干部、支部书记、党员发展对象、团干部等进行培训轮训，增强学习培训效果，提升综合素质。                           7.开展各项文化体育活动，活跃机关文化生活。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标</w:t>
            </w: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26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指标内容</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65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指标1：入党积极分子培训</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指标2：党务干部培训</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300-500人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指标1：培训合格率</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指标2：培训覆盖率</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7"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指标1：开展党务干部、党员培训班</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2022年5月-12月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指标2：开展文化体育活动</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2022年1月-12月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指标1：人均培训成本</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指标2：人均工会经费</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指标1：推动党务干部培养机制</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落实党建工作条例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指标2：推动党建人才培养</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落实相关政策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指标3：强身健体，活跃机关文化生活</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指标1：人员经费稳定</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2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满意度指标</w:t>
            </w: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指标1：培训对象满意度</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bl>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r>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t>表16</w:t>
      </w:r>
    </w:p>
    <w:tbl>
      <w:tblPr>
        <w:tblStyle w:val="12"/>
        <w:tblpPr w:leftFromText="180" w:rightFromText="180" w:vertAnchor="text" w:horzAnchor="page" w:tblpX="1314" w:tblpY="54"/>
        <w:tblOverlap w:val="never"/>
        <w:tblW w:w="980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7"/>
        <w:gridCol w:w="1165"/>
        <w:gridCol w:w="1546"/>
        <w:gridCol w:w="2202"/>
        <w:gridCol w:w="960"/>
        <w:gridCol w:w="2261"/>
        <w:gridCol w:w="10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808"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32"/>
                <w:szCs w:val="32"/>
                <w:u w:val="none"/>
              </w:rPr>
            </w:pPr>
            <w:r>
              <w:rPr>
                <w:rFonts w:hint="eastAsia" w:ascii="宋体" w:hAnsi="宋体" w:eastAsia="宋体" w:cs="宋体"/>
                <w:b/>
                <w:bCs/>
                <w:i w:val="0"/>
                <w:iCs w:val="0"/>
                <w:color w:val="000000"/>
                <w:kern w:val="0"/>
                <w:sz w:val="36"/>
                <w:szCs w:val="36"/>
                <w:u w:val="none"/>
                <w:lang w:val="en-US" w:eastAsia="zh-CN" w:bidi="ar"/>
              </w:rPr>
              <w:t>2022年专项资金总体绩效目标表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358"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项目名称</w:t>
            </w:r>
          </w:p>
        </w:tc>
        <w:tc>
          <w:tcPr>
            <w:tcW w:w="64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358"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主管部门</w:t>
            </w: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实施期限</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35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资金金额</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2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实施期资金总额：</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年度资金总额：</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3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其中：财政拨款</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其中：财政拨款</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3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标</w:t>
            </w:r>
          </w:p>
        </w:tc>
        <w:tc>
          <w:tcPr>
            <w:tcW w:w="58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实施期总目标</w:t>
            </w:r>
          </w:p>
        </w:tc>
        <w:tc>
          <w:tcPr>
            <w:tcW w:w="32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36" w:hRule="atLeast"/>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58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2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标</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一级指标</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二级指标</w:t>
            </w: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指标内容</w:t>
            </w: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指标值</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标</w:t>
            </w:r>
          </w:p>
        </w:tc>
        <w:tc>
          <w:tcPr>
            <w:tcW w:w="1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 w:hRule="atLeast"/>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时效指标</w:t>
            </w: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9" w:hRule="atLeast"/>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1" w:hRule="atLeast"/>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指标1：</w:t>
            </w: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标</w:t>
            </w:r>
          </w:p>
        </w:tc>
        <w:tc>
          <w:tcPr>
            <w:tcW w:w="1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经济效益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指标1：</w:t>
            </w: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指标2：</w:t>
            </w: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w:t>
            </w: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指标1：</w:t>
            </w: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指标1：</w:t>
            </w: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指标2：</w:t>
            </w: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16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w:t>
            </w: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可持续影响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指标1：</w:t>
            </w: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服务对象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满意度指标</w:t>
            </w: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指标1：</w:t>
            </w:r>
          </w:p>
        </w:tc>
        <w:tc>
          <w:tcPr>
            <w:tcW w:w="2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bl>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sectPr>
          <w:pgSz w:w="11906" w:h="16838"/>
          <w:pgMar w:top="1417" w:right="1474" w:bottom="1417" w:left="1587" w:header="851" w:footer="992" w:gutter="0"/>
          <w:cols w:space="425" w:num="1"/>
          <w:docGrid w:type="lines" w:linePitch="312" w:charSpace="0"/>
        </w:sectPr>
      </w:pPr>
    </w:p>
    <w:p>
      <w:pPr>
        <w:pStyle w:val="11"/>
        <w:keepNext w:val="0"/>
        <w:keepLines w:val="0"/>
        <w:pageBreakBefore w:val="0"/>
        <w:widowControl/>
        <w:kinsoku/>
        <w:wordWrap/>
        <w:overflowPunct/>
        <w:topLinePunct w:val="0"/>
        <w:autoSpaceDE/>
        <w:autoSpaceDN/>
        <w:bidi w:val="0"/>
        <w:adjustRightInd/>
        <w:snapToGrid/>
        <w:spacing w:beforeAutospacing="0" w:afterAutospacing="0" w:line="240" w:lineRule="exact"/>
        <w:jc w:val="both"/>
        <w:textAlignment w:val="auto"/>
        <w:rPr>
          <w:rFonts w:hint="default" w:asciiTheme="majorEastAsia" w:hAnsiTheme="majorEastAsia" w:eastAsiaTheme="majorEastAsia" w:cstheme="majorEastAsia"/>
          <w:color w:val="000000" w:themeColor="text1"/>
          <w:sz w:val="21"/>
          <w:szCs w:val="21"/>
          <w:shd w:val="clear" w:color="auto" w:fill="FFFFFF"/>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auto"/>
    <w:pitch w:val="default"/>
    <w:sig w:usb0="A00006FF" w:usb1="4000205B" w:usb2="00000010" w:usb3="00000000" w:csb0="2000019F" w:csb1="00000000"/>
  </w:font>
  <w:font w:name="方正小标宋_GBK">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D28B76"/>
    <w:multiLevelType w:val="singleLevel"/>
    <w:tmpl w:val="E0D28B76"/>
    <w:lvl w:ilvl="0" w:tentative="0">
      <w:start w:val="1"/>
      <w:numFmt w:val="chineseCounting"/>
      <w:suff w:val="space"/>
      <w:lvlText w:val="第%1部分"/>
      <w:lvlJc w:val="left"/>
      <w:rPr>
        <w:rFonts w:hint="eastAsia"/>
      </w:rPr>
    </w:lvl>
  </w:abstractNum>
  <w:abstractNum w:abstractNumId="1">
    <w:nsid w:val="F355D7C2"/>
    <w:multiLevelType w:val="singleLevel"/>
    <w:tmpl w:val="F355D7C2"/>
    <w:lvl w:ilvl="0" w:tentative="0">
      <w:start w:val="1"/>
      <w:numFmt w:val="decimal"/>
      <w:lvlText w:val="(%1)"/>
      <w:lvlJc w:val="left"/>
      <w:pPr>
        <w:tabs>
          <w:tab w:val="left" w:pos="312"/>
        </w:tabs>
      </w:pPr>
    </w:lvl>
  </w:abstractNum>
  <w:abstractNum w:abstractNumId="2">
    <w:nsid w:val="21A9B54E"/>
    <w:multiLevelType w:val="singleLevel"/>
    <w:tmpl w:val="21A9B54E"/>
    <w:lvl w:ilvl="0" w:tentative="0">
      <w:start w:val="5"/>
      <w:numFmt w:val="chineseCounting"/>
      <w:suff w:val="nothing"/>
      <w:lvlText w:val="（%1）"/>
      <w:lvlJc w:val="left"/>
      <w:rPr>
        <w:rFonts w:hint="eastAsia"/>
      </w:rPr>
    </w:lvl>
  </w:abstractNum>
  <w:abstractNum w:abstractNumId="3">
    <w:nsid w:val="4DC8CC3E"/>
    <w:multiLevelType w:val="singleLevel"/>
    <w:tmpl w:val="4DC8CC3E"/>
    <w:lvl w:ilvl="0" w:tentative="0">
      <w:start w:val="1"/>
      <w:numFmt w:val="chineseCounting"/>
      <w:suff w:val="nothing"/>
      <w:lvlText w:val="%1、"/>
      <w:lvlJc w:val="left"/>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5A5EFE"/>
    <w:rsid w:val="007A629E"/>
    <w:rsid w:val="008D34F7"/>
    <w:rsid w:val="00922599"/>
    <w:rsid w:val="00A15C47"/>
    <w:rsid w:val="00C57DA3"/>
    <w:rsid w:val="0117225E"/>
    <w:rsid w:val="01527EDF"/>
    <w:rsid w:val="01751358"/>
    <w:rsid w:val="01B85F94"/>
    <w:rsid w:val="01E07299"/>
    <w:rsid w:val="02075452"/>
    <w:rsid w:val="022B725D"/>
    <w:rsid w:val="02571C51"/>
    <w:rsid w:val="0264011E"/>
    <w:rsid w:val="03210108"/>
    <w:rsid w:val="03343AF9"/>
    <w:rsid w:val="033B6E7D"/>
    <w:rsid w:val="03427413"/>
    <w:rsid w:val="038B1487"/>
    <w:rsid w:val="044F4012"/>
    <w:rsid w:val="04553F6E"/>
    <w:rsid w:val="04A21066"/>
    <w:rsid w:val="052907F7"/>
    <w:rsid w:val="054433FD"/>
    <w:rsid w:val="056319E2"/>
    <w:rsid w:val="058E3C0E"/>
    <w:rsid w:val="059E7419"/>
    <w:rsid w:val="066C26E2"/>
    <w:rsid w:val="06890859"/>
    <w:rsid w:val="06973F8D"/>
    <w:rsid w:val="06983273"/>
    <w:rsid w:val="07A22A1B"/>
    <w:rsid w:val="07B54092"/>
    <w:rsid w:val="07BA2A68"/>
    <w:rsid w:val="07E50ECE"/>
    <w:rsid w:val="082F4AD6"/>
    <w:rsid w:val="0830018C"/>
    <w:rsid w:val="086E6632"/>
    <w:rsid w:val="08782189"/>
    <w:rsid w:val="08906D6B"/>
    <w:rsid w:val="08C44645"/>
    <w:rsid w:val="08D2495D"/>
    <w:rsid w:val="090E459D"/>
    <w:rsid w:val="09337F2A"/>
    <w:rsid w:val="09876B39"/>
    <w:rsid w:val="098F1CD1"/>
    <w:rsid w:val="09E65669"/>
    <w:rsid w:val="0A186011"/>
    <w:rsid w:val="0A5F3D62"/>
    <w:rsid w:val="0A6103E9"/>
    <w:rsid w:val="0AD80CEE"/>
    <w:rsid w:val="0B0C3378"/>
    <w:rsid w:val="0B100BEF"/>
    <w:rsid w:val="0BCF0AAA"/>
    <w:rsid w:val="0C932EB0"/>
    <w:rsid w:val="0CB765FD"/>
    <w:rsid w:val="0CE565A8"/>
    <w:rsid w:val="0D1F045F"/>
    <w:rsid w:val="0D345538"/>
    <w:rsid w:val="0D48607B"/>
    <w:rsid w:val="0DFE7425"/>
    <w:rsid w:val="0E0D2841"/>
    <w:rsid w:val="0E5B6625"/>
    <w:rsid w:val="0E5D1293"/>
    <w:rsid w:val="0E815DDC"/>
    <w:rsid w:val="0ED168E7"/>
    <w:rsid w:val="0ED64625"/>
    <w:rsid w:val="0F022BC0"/>
    <w:rsid w:val="0F24110D"/>
    <w:rsid w:val="0F6D1D74"/>
    <w:rsid w:val="0FB24BEB"/>
    <w:rsid w:val="0FD109A0"/>
    <w:rsid w:val="101271B8"/>
    <w:rsid w:val="102B0279"/>
    <w:rsid w:val="102D3DB3"/>
    <w:rsid w:val="10D87E40"/>
    <w:rsid w:val="10E766B8"/>
    <w:rsid w:val="10EB7CBC"/>
    <w:rsid w:val="114D206E"/>
    <w:rsid w:val="118440E5"/>
    <w:rsid w:val="11A46535"/>
    <w:rsid w:val="11BE198A"/>
    <w:rsid w:val="12445622"/>
    <w:rsid w:val="12636753"/>
    <w:rsid w:val="126C39CC"/>
    <w:rsid w:val="12936CB1"/>
    <w:rsid w:val="12EE7D27"/>
    <w:rsid w:val="135E712D"/>
    <w:rsid w:val="13834ABE"/>
    <w:rsid w:val="138D0B5B"/>
    <w:rsid w:val="13B8507F"/>
    <w:rsid w:val="14445C19"/>
    <w:rsid w:val="153857D1"/>
    <w:rsid w:val="15CD765C"/>
    <w:rsid w:val="15E45B9D"/>
    <w:rsid w:val="162504D0"/>
    <w:rsid w:val="163E0BAE"/>
    <w:rsid w:val="16913696"/>
    <w:rsid w:val="169D0824"/>
    <w:rsid w:val="16D63CCB"/>
    <w:rsid w:val="16D8458B"/>
    <w:rsid w:val="16FD6305"/>
    <w:rsid w:val="172E2738"/>
    <w:rsid w:val="180C6BE2"/>
    <w:rsid w:val="18673E19"/>
    <w:rsid w:val="18996CC8"/>
    <w:rsid w:val="18A312F5"/>
    <w:rsid w:val="18D075E0"/>
    <w:rsid w:val="18D30602"/>
    <w:rsid w:val="193C7053"/>
    <w:rsid w:val="195C3E88"/>
    <w:rsid w:val="195E19B5"/>
    <w:rsid w:val="19723F2E"/>
    <w:rsid w:val="199A5CE1"/>
    <w:rsid w:val="19C81033"/>
    <w:rsid w:val="1A134258"/>
    <w:rsid w:val="1A14040A"/>
    <w:rsid w:val="1A430C1A"/>
    <w:rsid w:val="1B042C2D"/>
    <w:rsid w:val="1BBE01F3"/>
    <w:rsid w:val="1BD51751"/>
    <w:rsid w:val="1BD55F07"/>
    <w:rsid w:val="1C153647"/>
    <w:rsid w:val="1C460B0A"/>
    <w:rsid w:val="1C46559C"/>
    <w:rsid w:val="1C5B1EE6"/>
    <w:rsid w:val="1CC967B9"/>
    <w:rsid w:val="1D4622ED"/>
    <w:rsid w:val="1EC27AEF"/>
    <w:rsid w:val="1ED045F4"/>
    <w:rsid w:val="1F1C653A"/>
    <w:rsid w:val="1FA42B3E"/>
    <w:rsid w:val="200A61BF"/>
    <w:rsid w:val="203F5FD1"/>
    <w:rsid w:val="2043516B"/>
    <w:rsid w:val="20AC5A30"/>
    <w:rsid w:val="20E66AD2"/>
    <w:rsid w:val="20F86B7E"/>
    <w:rsid w:val="213C22E6"/>
    <w:rsid w:val="21817CF9"/>
    <w:rsid w:val="2183699D"/>
    <w:rsid w:val="219263AA"/>
    <w:rsid w:val="21DE15EF"/>
    <w:rsid w:val="228F7B01"/>
    <w:rsid w:val="22C02AA3"/>
    <w:rsid w:val="22C33271"/>
    <w:rsid w:val="22CD3925"/>
    <w:rsid w:val="22E02AB8"/>
    <w:rsid w:val="233B2C60"/>
    <w:rsid w:val="23417BEF"/>
    <w:rsid w:val="234B0157"/>
    <w:rsid w:val="23850132"/>
    <w:rsid w:val="23F32A04"/>
    <w:rsid w:val="241C6E05"/>
    <w:rsid w:val="2555006B"/>
    <w:rsid w:val="25FC0039"/>
    <w:rsid w:val="26946721"/>
    <w:rsid w:val="26990D21"/>
    <w:rsid w:val="273F1DE7"/>
    <w:rsid w:val="28433F5A"/>
    <w:rsid w:val="285F4B0C"/>
    <w:rsid w:val="286C2142"/>
    <w:rsid w:val="28872598"/>
    <w:rsid w:val="29475CCC"/>
    <w:rsid w:val="298B724A"/>
    <w:rsid w:val="29BE747E"/>
    <w:rsid w:val="29DA1EFC"/>
    <w:rsid w:val="2A2760C6"/>
    <w:rsid w:val="2A29228E"/>
    <w:rsid w:val="2A9418AD"/>
    <w:rsid w:val="2ACB3B4E"/>
    <w:rsid w:val="2B126BC2"/>
    <w:rsid w:val="2B2F46A3"/>
    <w:rsid w:val="2B454C25"/>
    <w:rsid w:val="2B5175A2"/>
    <w:rsid w:val="2B5260AD"/>
    <w:rsid w:val="2B886039"/>
    <w:rsid w:val="2B9B40AD"/>
    <w:rsid w:val="2BC0238D"/>
    <w:rsid w:val="2C230044"/>
    <w:rsid w:val="2C7E3187"/>
    <w:rsid w:val="2C9772A7"/>
    <w:rsid w:val="2C9F1A8A"/>
    <w:rsid w:val="2CB46E02"/>
    <w:rsid w:val="2CF25559"/>
    <w:rsid w:val="2D045C82"/>
    <w:rsid w:val="2E055C72"/>
    <w:rsid w:val="2E0F5475"/>
    <w:rsid w:val="2E817053"/>
    <w:rsid w:val="2E852ACB"/>
    <w:rsid w:val="2E941D00"/>
    <w:rsid w:val="2E982B26"/>
    <w:rsid w:val="2F2045EE"/>
    <w:rsid w:val="2F8F3F29"/>
    <w:rsid w:val="2FF62D2B"/>
    <w:rsid w:val="30DF4A3C"/>
    <w:rsid w:val="30E3452C"/>
    <w:rsid w:val="30EE4C7F"/>
    <w:rsid w:val="311044F1"/>
    <w:rsid w:val="31D922AB"/>
    <w:rsid w:val="31EC7411"/>
    <w:rsid w:val="32296BA4"/>
    <w:rsid w:val="32770A74"/>
    <w:rsid w:val="32FC121D"/>
    <w:rsid w:val="3307027A"/>
    <w:rsid w:val="33192F4E"/>
    <w:rsid w:val="335C2374"/>
    <w:rsid w:val="335F08A3"/>
    <w:rsid w:val="33713745"/>
    <w:rsid w:val="339A65E9"/>
    <w:rsid w:val="33C24C34"/>
    <w:rsid w:val="33F97DCE"/>
    <w:rsid w:val="341E0D9B"/>
    <w:rsid w:val="34593268"/>
    <w:rsid w:val="34916A41"/>
    <w:rsid w:val="34CF4402"/>
    <w:rsid w:val="34D207A4"/>
    <w:rsid w:val="34D2441F"/>
    <w:rsid w:val="35063588"/>
    <w:rsid w:val="35DF12C0"/>
    <w:rsid w:val="35F920FC"/>
    <w:rsid w:val="36176A26"/>
    <w:rsid w:val="363C71D0"/>
    <w:rsid w:val="3674518C"/>
    <w:rsid w:val="36BB3856"/>
    <w:rsid w:val="36DD076A"/>
    <w:rsid w:val="371371EE"/>
    <w:rsid w:val="37691503"/>
    <w:rsid w:val="379261E6"/>
    <w:rsid w:val="37FE648F"/>
    <w:rsid w:val="38045B34"/>
    <w:rsid w:val="382D42DF"/>
    <w:rsid w:val="384E2108"/>
    <w:rsid w:val="3866745B"/>
    <w:rsid w:val="38CA7D80"/>
    <w:rsid w:val="38FD0155"/>
    <w:rsid w:val="39FB442E"/>
    <w:rsid w:val="3A326B79"/>
    <w:rsid w:val="3A362AD0"/>
    <w:rsid w:val="3A5E5410"/>
    <w:rsid w:val="3BB54DAD"/>
    <w:rsid w:val="3C674DAC"/>
    <w:rsid w:val="3D9F3080"/>
    <w:rsid w:val="3E1C6660"/>
    <w:rsid w:val="3E32371A"/>
    <w:rsid w:val="3E595E2E"/>
    <w:rsid w:val="3E66054B"/>
    <w:rsid w:val="3E806059"/>
    <w:rsid w:val="3E832990"/>
    <w:rsid w:val="3ECB1717"/>
    <w:rsid w:val="3ECB6D5B"/>
    <w:rsid w:val="3EF01F70"/>
    <w:rsid w:val="3F035DA7"/>
    <w:rsid w:val="3F33667C"/>
    <w:rsid w:val="3F3423F7"/>
    <w:rsid w:val="3F8E6FA5"/>
    <w:rsid w:val="40C813CB"/>
    <w:rsid w:val="40E16FAF"/>
    <w:rsid w:val="41170420"/>
    <w:rsid w:val="41BA1B76"/>
    <w:rsid w:val="41E53E7C"/>
    <w:rsid w:val="42346FE2"/>
    <w:rsid w:val="42891030"/>
    <w:rsid w:val="42C15158"/>
    <w:rsid w:val="433A0B8E"/>
    <w:rsid w:val="437977C6"/>
    <w:rsid w:val="437E7C2A"/>
    <w:rsid w:val="43E84E07"/>
    <w:rsid w:val="442A3DC9"/>
    <w:rsid w:val="44974D76"/>
    <w:rsid w:val="449F0313"/>
    <w:rsid w:val="44B47B5A"/>
    <w:rsid w:val="44CC6046"/>
    <w:rsid w:val="44D32369"/>
    <w:rsid w:val="45D52D35"/>
    <w:rsid w:val="45FC53E6"/>
    <w:rsid w:val="463B1098"/>
    <w:rsid w:val="46A80E83"/>
    <w:rsid w:val="46E26BDC"/>
    <w:rsid w:val="46E85276"/>
    <w:rsid w:val="46ED5EC6"/>
    <w:rsid w:val="47634BC4"/>
    <w:rsid w:val="4770370D"/>
    <w:rsid w:val="47DE1890"/>
    <w:rsid w:val="48033BFF"/>
    <w:rsid w:val="480E6E62"/>
    <w:rsid w:val="485B27A2"/>
    <w:rsid w:val="486B0B14"/>
    <w:rsid w:val="48AC5FA1"/>
    <w:rsid w:val="49DA3B9B"/>
    <w:rsid w:val="49EB750F"/>
    <w:rsid w:val="4A3F75A8"/>
    <w:rsid w:val="4A585D61"/>
    <w:rsid w:val="4A5E5FB4"/>
    <w:rsid w:val="4ABC3447"/>
    <w:rsid w:val="4AC81A2D"/>
    <w:rsid w:val="4AD955AD"/>
    <w:rsid w:val="4B1B4CB7"/>
    <w:rsid w:val="4B333816"/>
    <w:rsid w:val="4B9A45F4"/>
    <w:rsid w:val="4BDB3D41"/>
    <w:rsid w:val="4BEA6A78"/>
    <w:rsid w:val="4C6915AA"/>
    <w:rsid w:val="4C742FC8"/>
    <w:rsid w:val="4CE975C9"/>
    <w:rsid w:val="4CF74013"/>
    <w:rsid w:val="4CFF4044"/>
    <w:rsid w:val="4D153868"/>
    <w:rsid w:val="4D16313C"/>
    <w:rsid w:val="4D274837"/>
    <w:rsid w:val="4D4E28D6"/>
    <w:rsid w:val="4E4C05F5"/>
    <w:rsid w:val="4E78429A"/>
    <w:rsid w:val="4EE364A3"/>
    <w:rsid w:val="4FBC3F14"/>
    <w:rsid w:val="4FF31B49"/>
    <w:rsid w:val="50044A09"/>
    <w:rsid w:val="503764C8"/>
    <w:rsid w:val="503C55AF"/>
    <w:rsid w:val="50554761"/>
    <w:rsid w:val="50563186"/>
    <w:rsid w:val="50F957BA"/>
    <w:rsid w:val="51134562"/>
    <w:rsid w:val="514044C0"/>
    <w:rsid w:val="514C1CAF"/>
    <w:rsid w:val="51570884"/>
    <w:rsid w:val="515A4EDD"/>
    <w:rsid w:val="517A013D"/>
    <w:rsid w:val="51F24178"/>
    <w:rsid w:val="5257068A"/>
    <w:rsid w:val="538064F1"/>
    <w:rsid w:val="53CD3D7D"/>
    <w:rsid w:val="53E45D42"/>
    <w:rsid w:val="54130098"/>
    <w:rsid w:val="54F17455"/>
    <w:rsid w:val="550D25C3"/>
    <w:rsid w:val="552E7096"/>
    <w:rsid w:val="55A133CB"/>
    <w:rsid w:val="55C50259"/>
    <w:rsid w:val="560F3096"/>
    <w:rsid w:val="56AD60B9"/>
    <w:rsid w:val="56C426B8"/>
    <w:rsid w:val="57170984"/>
    <w:rsid w:val="572D3F5B"/>
    <w:rsid w:val="57642213"/>
    <w:rsid w:val="57D66D08"/>
    <w:rsid w:val="58197084"/>
    <w:rsid w:val="581C3CEA"/>
    <w:rsid w:val="58262DCD"/>
    <w:rsid w:val="5863778A"/>
    <w:rsid w:val="58670CF0"/>
    <w:rsid w:val="586933D1"/>
    <w:rsid w:val="58961796"/>
    <w:rsid w:val="58B43263"/>
    <w:rsid w:val="592117E6"/>
    <w:rsid w:val="59271254"/>
    <w:rsid w:val="598A738C"/>
    <w:rsid w:val="59BA4C8E"/>
    <w:rsid w:val="5A2A46CB"/>
    <w:rsid w:val="5A5E50BB"/>
    <w:rsid w:val="5B922527"/>
    <w:rsid w:val="5C716E57"/>
    <w:rsid w:val="5C84435F"/>
    <w:rsid w:val="5DB449D7"/>
    <w:rsid w:val="5EBB1D95"/>
    <w:rsid w:val="5EC1109C"/>
    <w:rsid w:val="5EF43FB8"/>
    <w:rsid w:val="5F0337A7"/>
    <w:rsid w:val="5F1D7A1C"/>
    <w:rsid w:val="5F5D2E4C"/>
    <w:rsid w:val="5F6C08A0"/>
    <w:rsid w:val="60181E75"/>
    <w:rsid w:val="606100A2"/>
    <w:rsid w:val="61047A44"/>
    <w:rsid w:val="611D1E16"/>
    <w:rsid w:val="612854D0"/>
    <w:rsid w:val="613B0F6B"/>
    <w:rsid w:val="616B4126"/>
    <w:rsid w:val="61A34759"/>
    <w:rsid w:val="61AC2E7E"/>
    <w:rsid w:val="61C3168D"/>
    <w:rsid w:val="61D141E5"/>
    <w:rsid w:val="621E1DC8"/>
    <w:rsid w:val="624B2946"/>
    <w:rsid w:val="626A3676"/>
    <w:rsid w:val="62CD2097"/>
    <w:rsid w:val="630F3B50"/>
    <w:rsid w:val="63A62E8D"/>
    <w:rsid w:val="63DD7209"/>
    <w:rsid w:val="640D4E41"/>
    <w:rsid w:val="64223465"/>
    <w:rsid w:val="64B04B1B"/>
    <w:rsid w:val="64B056D7"/>
    <w:rsid w:val="64BC23C3"/>
    <w:rsid w:val="64FF4A5F"/>
    <w:rsid w:val="65426543"/>
    <w:rsid w:val="6554108C"/>
    <w:rsid w:val="656E1882"/>
    <w:rsid w:val="65841D2F"/>
    <w:rsid w:val="66084C72"/>
    <w:rsid w:val="67191D4F"/>
    <w:rsid w:val="67424E02"/>
    <w:rsid w:val="67542D87"/>
    <w:rsid w:val="67A0535F"/>
    <w:rsid w:val="686E3D17"/>
    <w:rsid w:val="688B4FE6"/>
    <w:rsid w:val="68A65D3C"/>
    <w:rsid w:val="68BE69D2"/>
    <w:rsid w:val="69D45337"/>
    <w:rsid w:val="69E04D5B"/>
    <w:rsid w:val="6A130CD7"/>
    <w:rsid w:val="6AA30460"/>
    <w:rsid w:val="6AD44459"/>
    <w:rsid w:val="6B725572"/>
    <w:rsid w:val="6C212AB1"/>
    <w:rsid w:val="6CA64085"/>
    <w:rsid w:val="6CDF798B"/>
    <w:rsid w:val="6CE514A6"/>
    <w:rsid w:val="6D1D1FC1"/>
    <w:rsid w:val="6D3C632B"/>
    <w:rsid w:val="6D450E35"/>
    <w:rsid w:val="6DBD685B"/>
    <w:rsid w:val="6DCA78FF"/>
    <w:rsid w:val="6E15739C"/>
    <w:rsid w:val="6E69536A"/>
    <w:rsid w:val="6E802433"/>
    <w:rsid w:val="6EB10EB1"/>
    <w:rsid w:val="6F3C482C"/>
    <w:rsid w:val="6F487585"/>
    <w:rsid w:val="6F6F5EA9"/>
    <w:rsid w:val="6F9879BD"/>
    <w:rsid w:val="709F1517"/>
    <w:rsid w:val="70FA7756"/>
    <w:rsid w:val="71776D9B"/>
    <w:rsid w:val="719E2B21"/>
    <w:rsid w:val="71AF5789"/>
    <w:rsid w:val="71E83480"/>
    <w:rsid w:val="728D7024"/>
    <w:rsid w:val="72A03324"/>
    <w:rsid w:val="730E6365"/>
    <w:rsid w:val="731331D1"/>
    <w:rsid w:val="73C615C6"/>
    <w:rsid w:val="73D60494"/>
    <w:rsid w:val="73DD427B"/>
    <w:rsid w:val="73E079EA"/>
    <w:rsid w:val="73F8117A"/>
    <w:rsid w:val="742D39DD"/>
    <w:rsid w:val="75355939"/>
    <w:rsid w:val="753E4470"/>
    <w:rsid w:val="758B3E18"/>
    <w:rsid w:val="75B0387E"/>
    <w:rsid w:val="75D67789"/>
    <w:rsid w:val="77610F57"/>
    <w:rsid w:val="77C606A4"/>
    <w:rsid w:val="77E97E8A"/>
    <w:rsid w:val="789C2F54"/>
    <w:rsid w:val="78D342F9"/>
    <w:rsid w:val="795A2F31"/>
    <w:rsid w:val="797522C9"/>
    <w:rsid w:val="79AB6B39"/>
    <w:rsid w:val="79B34B4D"/>
    <w:rsid w:val="79BE6E49"/>
    <w:rsid w:val="7A2A5DA4"/>
    <w:rsid w:val="7A9E48DF"/>
    <w:rsid w:val="7B152A75"/>
    <w:rsid w:val="7B1945BF"/>
    <w:rsid w:val="7B490738"/>
    <w:rsid w:val="7B8E3629"/>
    <w:rsid w:val="7BC9569A"/>
    <w:rsid w:val="7BD5403F"/>
    <w:rsid w:val="7C020DD0"/>
    <w:rsid w:val="7C084EF0"/>
    <w:rsid w:val="7C643D71"/>
    <w:rsid w:val="7C6D24C9"/>
    <w:rsid w:val="7D1E37C3"/>
    <w:rsid w:val="7DAC7021"/>
    <w:rsid w:val="7E240F2C"/>
    <w:rsid w:val="7E7B0DF3"/>
    <w:rsid w:val="7ED30C88"/>
    <w:rsid w:val="7ED31D89"/>
    <w:rsid w:val="7EE42AD3"/>
    <w:rsid w:val="7EE54599"/>
    <w:rsid w:val="7FFD0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5">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paragraph" w:styleId="6">
    <w:name w:val="heading 6"/>
    <w:basedOn w:val="1"/>
    <w:next w:val="1"/>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paragraph" w:styleId="7">
    <w:name w:val="heading 7"/>
    <w:basedOn w:val="1"/>
    <w:next w:val="1"/>
    <w:unhideWhenUsed/>
    <w:qFormat/>
    <w:uiPriority w:val="0"/>
    <w:pPr>
      <w:keepNext/>
      <w:keepLines/>
      <w:spacing w:before="240" w:beforeLines="0" w:beforeAutospacing="0" w:after="64" w:afterLines="0" w:afterAutospacing="0" w:line="317" w:lineRule="auto"/>
      <w:outlineLvl w:val="6"/>
    </w:pPr>
    <w:rPr>
      <w:b/>
      <w:sz w:val="2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3"/>
    <w:basedOn w:val="1"/>
    <w:next w:val="3"/>
    <w:unhideWhenUsed/>
    <w:qFormat/>
    <w:uiPriority w:val="99"/>
    <w:pPr>
      <w:spacing w:after="120"/>
    </w:pPr>
    <w:rPr>
      <w:sz w:val="16"/>
      <w:szCs w:val="16"/>
    </w:rPr>
  </w:style>
  <w:style w:type="paragraph" w:customStyle="1" w:styleId="3">
    <w:name w:val="Char1"/>
    <w:basedOn w:val="1"/>
    <w:next w:val="1"/>
    <w:qFormat/>
    <w:uiPriority w:val="0"/>
    <w:pPr>
      <w:tabs>
        <w:tab w:val="left" w:pos="840"/>
      </w:tabs>
      <w:ind w:left="840" w:hanging="420"/>
    </w:pPr>
    <w:rPr>
      <w:sz w:val="24"/>
      <w:szCs w:val="30"/>
    </w:rPr>
  </w:style>
  <w:style w:type="paragraph" w:styleId="8">
    <w:name w:val="Normal Indent"/>
    <w:basedOn w:val="1"/>
    <w:unhideWhenUsed/>
    <w:qFormat/>
    <w:uiPriority w:val="0"/>
    <w:pPr>
      <w:ind w:firstLine="420" w:firstLine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Autospacing="1" w:afterAutospacing="1"/>
      <w:jc w:val="left"/>
    </w:pPr>
    <w:rPr>
      <w:rFonts w:cs="Times New Roman"/>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customStyle="1" w:styleId="16">
    <w:name w:val="font11"/>
    <w:basedOn w:val="14"/>
    <w:uiPriority w:val="0"/>
    <w:rPr>
      <w:rFonts w:ascii="Arial" w:hAnsi="Arial" w:cs="Arial"/>
      <w:color w:val="000000"/>
      <w:sz w:val="22"/>
      <w:szCs w:val="22"/>
      <w:u w:val="none"/>
    </w:rPr>
  </w:style>
  <w:style w:type="character" w:customStyle="1" w:styleId="17">
    <w:name w:val="font41"/>
    <w:basedOn w:val="14"/>
    <w:uiPriority w:val="0"/>
    <w:rPr>
      <w:rFonts w:hint="eastAsia" w:ascii="宋体" w:hAnsi="宋体" w:eastAsia="宋体" w:cs="宋体"/>
      <w:color w:val="000000"/>
      <w:sz w:val="22"/>
      <w:szCs w:val="22"/>
      <w:u w:val="none"/>
    </w:rPr>
  </w:style>
  <w:style w:type="character" w:customStyle="1" w:styleId="18">
    <w:name w:val="font31"/>
    <w:basedOn w:val="14"/>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Company>
  <Pages>48</Pages>
  <Words>17500</Words>
  <Characters>21785</Characters>
  <Lines>39</Lines>
  <Paragraphs>11</Paragraphs>
  <TotalTime>201</TotalTime>
  <ScaleCrop>false</ScaleCrop>
  <LinksUpToDate>false</LinksUpToDate>
  <CharactersWithSpaces>22727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2017-11-10T03:41:00Z</dcterms:created>
  <dc:creator>gggg1403581832</dc:creator>
  <cp:lastModifiedBy>生如夏花</cp:lastModifiedBy>
  <cp:lastPrinted>2022-01-25T03:49:00Z</cp:lastPrinted>
  <dcterms:modified xsi:type="dcterms:W3CDTF">2022-04-29T01:01:22Z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KSOSaveFontToCloudKey">
    <vt:lpwstr>458846461_btnclosed</vt:lpwstr>
  </property>
  <property fmtid="{D5CDD505-2E9C-101B-9397-08002B2CF9AE}" pid="4" name="ICV">
    <vt:lpwstr>8D4C1115EDBF4880A5C9A782E2E61053</vt:lpwstr>
  </property>
</Properties>
</file>